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1C" w:rsidRPr="00766A1C" w:rsidRDefault="00766A1C" w:rsidP="00766A1C">
      <w:pPr>
        <w:ind w:right="-136"/>
        <w:jc w:val="left"/>
        <w:rPr>
          <w:rFonts w:ascii="Tahoma" w:eastAsia="Times New Roman" w:hAnsi="Tahoma" w:cs="Tahoma"/>
          <w:b/>
          <w:sz w:val="20"/>
          <w:szCs w:val="20"/>
          <w:lang w:val="en-GB" w:eastAsia="en-GB"/>
        </w:rPr>
      </w:pPr>
    </w:p>
    <w:p w:rsidR="00766A1C" w:rsidRPr="00766A1C" w:rsidRDefault="00766A1C" w:rsidP="00766A1C">
      <w:pPr>
        <w:jc w:val="left"/>
        <w:rPr>
          <w:rFonts w:ascii="Tahoma" w:eastAsia="Times New Roman" w:hAnsi="Tahoma" w:cs="Tahoma"/>
          <w:sz w:val="20"/>
          <w:szCs w:val="20"/>
          <w:lang w:val="en-GB" w:eastAsia="en-GB"/>
        </w:rPr>
      </w:pPr>
    </w:p>
    <w:tbl>
      <w:tblPr>
        <w:tblW w:w="9645"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firstRow="1" w:lastRow="0" w:firstColumn="1" w:lastColumn="0" w:noHBand="0" w:noVBand="1"/>
      </w:tblPr>
      <w:tblGrid>
        <w:gridCol w:w="1807"/>
        <w:gridCol w:w="1744"/>
        <w:gridCol w:w="1496"/>
        <w:gridCol w:w="90"/>
        <w:gridCol w:w="115"/>
        <w:gridCol w:w="1701"/>
        <w:gridCol w:w="2692"/>
      </w:tblGrid>
      <w:tr w:rsidR="00766A1C" w:rsidRPr="00766A1C" w:rsidTr="00FB125F">
        <w:tc>
          <w:tcPr>
            <w:tcW w:w="9645" w:type="dxa"/>
            <w:gridSpan w:val="7"/>
            <w:tcBorders>
              <w:top w:val="outset" w:sz="6" w:space="0" w:color="000000"/>
              <w:left w:val="outset" w:sz="6" w:space="0" w:color="000000"/>
              <w:bottom w:val="single" w:sz="6" w:space="0" w:color="000000"/>
              <w:right w:val="inset" w:sz="6" w:space="0" w:color="000000"/>
            </w:tcBorders>
            <w:shd w:val="clear" w:color="auto" w:fill="FFFFFF"/>
            <w:vAlign w:val="center"/>
            <w:hideMark/>
          </w:tcPr>
          <w:p w:rsidR="00766A1C" w:rsidRPr="00766A1C" w:rsidRDefault="00766A1C" w:rsidP="00766A1C">
            <w:pPr>
              <w:ind w:left="180"/>
              <w:rPr>
                <w:rFonts w:ascii="Tahoma" w:eastAsia="Times New Roman" w:hAnsi="Tahoma" w:cs="Tahoma"/>
                <w:sz w:val="20"/>
                <w:szCs w:val="20"/>
                <w:highlight w:val="red"/>
                <w:lang w:val="en-GB" w:eastAsia="en-GB"/>
              </w:rPr>
            </w:pPr>
            <w:r w:rsidRPr="00380D29">
              <w:rPr>
                <w:rFonts w:ascii="Tahoma" w:eastAsia="Times New Roman" w:hAnsi="Tahoma" w:cs="Tahoma"/>
                <w:sz w:val="32"/>
                <w:szCs w:val="32"/>
                <w:lang w:val="en-GB" w:eastAsia="en-GB"/>
              </w:rPr>
              <w:t>Syllabus</w:t>
            </w:r>
          </w:p>
        </w:tc>
      </w:tr>
      <w:tr w:rsidR="00766A1C" w:rsidRPr="00766A1C" w:rsidTr="00766A1C">
        <w:tc>
          <w:tcPr>
            <w:tcW w:w="1807" w:type="dxa"/>
            <w:tcBorders>
              <w:top w:val="single" w:sz="6" w:space="0" w:color="000000"/>
              <w:left w:val="outset" w:sz="6" w:space="0" w:color="000000"/>
              <w:bottom w:val="single"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b/>
                <w:bCs/>
                <w:sz w:val="20"/>
                <w:szCs w:val="20"/>
                <w:lang w:val="en-GB" w:eastAsia="en-GB"/>
              </w:rPr>
              <w:t>Title</w:t>
            </w:r>
          </w:p>
        </w:tc>
        <w:tc>
          <w:tcPr>
            <w:tcW w:w="7838" w:type="dxa"/>
            <w:gridSpan w:val="6"/>
            <w:tcBorders>
              <w:top w:val="single" w:sz="6" w:space="0" w:color="000000"/>
              <w:left w:val="single" w:sz="6" w:space="0" w:color="000000"/>
              <w:bottom w:val="single"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b/>
                <w:sz w:val="20"/>
                <w:szCs w:val="20"/>
                <w:highlight w:val="red"/>
                <w:lang w:val="en-GB" w:eastAsia="en-GB"/>
              </w:rPr>
            </w:pPr>
            <w:r w:rsidRPr="00766A1C">
              <w:rPr>
                <w:rFonts w:ascii="Tahoma" w:eastAsia="Times New Roman" w:hAnsi="Tahoma" w:cs="Tahoma"/>
                <w:bCs/>
                <w:sz w:val="20"/>
                <w:szCs w:val="20"/>
                <w:lang w:val="en-GB" w:eastAsia="en-GB"/>
              </w:rPr>
              <w:t>European System of Financial Supervision</w:t>
            </w:r>
            <w:r w:rsidRPr="00766A1C">
              <w:rPr>
                <w:rFonts w:ascii="Tahoma" w:eastAsia="Times New Roman" w:hAnsi="Tahoma" w:cs="Tahoma"/>
                <w:sz w:val="20"/>
                <w:szCs w:val="20"/>
                <w:lang w:val="en-GB" w:eastAsia="en-GB"/>
              </w:rPr>
              <w:t xml:space="preserve"> and </w:t>
            </w:r>
            <w:r w:rsidRPr="00766A1C">
              <w:rPr>
                <w:rFonts w:ascii="Tahoma" w:eastAsia="Times New Roman" w:hAnsi="Tahoma" w:cs="Tahoma"/>
                <w:bCs/>
                <w:sz w:val="20"/>
                <w:szCs w:val="20"/>
                <w:lang w:val="en-GB" w:eastAsia="en-GB"/>
              </w:rPr>
              <w:t>national supervisory authorities.</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proofErr w:type="spellStart"/>
            <w:r w:rsidRPr="00766A1C">
              <w:rPr>
                <w:rFonts w:ascii="Tahoma" w:eastAsia="Times New Roman" w:hAnsi="Tahoma" w:cs="Tahoma"/>
                <w:b/>
                <w:sz w:val="20"/>
                <w:szCs w:val="20"/>
                <w:lang w:val="en-GB" w:eastAsia="en-GB"/>
              </w:rPr>
              <w:t>Prof.</w:t>
            </w:r>
            <w:proofErr w:type="spellEnd"/>
            <w:r w:rsidRPr="00766A1C">
              <w:rPr>
                <w:rFonts w:ascii="Tahoma" w:eastAsia="Times New Roman" w:hAnsi="Tahoma" w:cs="Tahoma"/>
                <w:b/>
                <w:sz w:val="20"/>
                <w:szCs w:val="20"/>
                <w:lang w:val="en-GB" w:eastAsia="en-GB"/>
              </w:rPr>
              <w:t xml:space="preserve"> in charge</w:t>
            </w:r>
          </w:p>
        </w:tc>
        <w:tc>
          <w:tcPr>
            <w:tcW w:w="7838" w:type="dxa"/>
            <w:gridSpan w:val="6"/>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highlight w:val="red"/>
                <w:lang w:val="en-GB" w:eastAsia="en-GB"/>
              </w:rPr>
            </w:pPr>
            <w:proofErr w:type="spellStart"/>
            <w:r w:rsidRPr="00766A1C">
              <w:rPr>
                <w:rFonts w:ascii="Tahoma" w:eastAsia="Times New Roman" w:hAnsi="Tahoma" w:cs="Tahoma"/>
                <w:sz w:val="20"/>
                <w:szCs w:val="20"/>
                <w:lang w:val="en-GB" w:eastAsia="en-GB"/>
              </w:rPr>
              <w:t>dr</w:t>
            </w:r>
            <w:proofErr w:type="spellEnd"/>
            <w:r w:rsidRPr="00766A1C">
              <w:rPr>
                <w:rFonts w:ascii="Tahoma" w:eastAsia="Times New Roman" w:hAnsi="Tahoma" w:cs="Tahoma"/>
                <w:sz w:val="20"/>
                <w:szCs w:val="20"/>
                <w:lang w:val="en-GB" w:eastAsia="en-GB"/>
              </w:rPr>
              <w:t xml:space="preserve"> </w:t>
            </w:r>
            <w:proofErr w:type="spellStart"/>
            <w:r w:rsidRPr="00766A1C">
              <w:rPr>
                <w:rFonts w:ascii="Tahoma" w:eastAsia="Times New Roman" w:hAnsi="Tahoma" w:cs="Tahoma"/>
                <w:sz w:val="20"/>
                <w:szCs w:val="20"/>
                <w:lang w:val="en-GB" w:eastAsia="en-GB"/>
              </w:rPr>
              <w:t>Łukasz</w:t>
            </w:r>
            <w:proofErr w:type="spellEnd"/>
            <w:r w:rsidRPr="00766A1C">
              <w:rPr>
                <w:rFonts w:ascii="Tahoma" w:eastAsia="Times New Roman" w:hAnsi="Tahoma" w:cs="Tahoma"/>
                <w:sz w:val="20"/>
                <w:szCs w:val="20"/>
                <w:lang w:val="en-GB" w:eastAsia="en-GB"/>
              </w:rPr>
              <w:t xml:space="preserve"> </w:t>
            </w:r>
            <w:proofErr w:type="spellStart"/>
            <w:r w:rsidRPr="00766A1C">
              <w:rPr>
                <w:rFonts w:ascii="Tahoma" w:eastAsia="Times New Roman" w:hAnsi="Tahoma" w:cs="Tahoma"/>
                <w:sz w:val="20"/>
                <w:szCs w:val="20"/>
                <w:lang w:val="en-GB" w:eastAsia="en-GB"/>
              </w:rPr>
              <w:t>Kozera</w:t>
            </w:r>
            <w:proofErr w:type="spellEnd"/>
          </w:p>
        </w:tc>
      </w:tr>
      <w:tr w:rsidR="00766A1C" w:rsidRPr="00766A1C" w:rsidTr="00766A1C">
        <w:trPr>
          <w:trHeight w:val="725"/>
        </w:trPr>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Lecture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Seminar</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Summer course</w:t>
            </w:r>
          </w:p>
        </w:tc>
        <w:tc>
          <w:tcPr>
            <w:tcW w:w="4508" w:type="dxa"/>
            <w:gridSpan w:val="3"/>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Training course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Intensive course</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Distance learning course</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66A1C" w:rsidRPr="00766A1C" w:rsidRDefault="00766A1C" w:rsidP="00766A1C">
            <w:pPr>
              <w:jc w:val="left"/>
              <w:rPr>
                <w:rFonts w:ascii="Tahoma" w:eastAsia="Times New Roman" w:hAnsi="Tahoma" w:cs="Tahoma"/>
                <w:b/>
                <w:sz w:val="20"/>
                <w:szCs w:val="20"/>
                <w:lang w:val="en-GB" w:eastAsia="en-GB"/>
              </w:rPr>
            </w:pPr>
          </w:p>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Description</w:t>
            </w:r>
          </w:p>
          <w:p w:rsidR="00766A1C" w:rsidRPr="00766A1C" w:rsidRDefault="00766A1C" w:rsidP="00766A1C">
            <w:pPr>
              <w:jc w:val="left"/>
              <w:rPr>
                <w:rFonts w:ascii="Tahoma" w:eastAsia="Times New Roman" w:hAnsi="Tahoma" w:cs="Tahoma"/>
                <w:b/>
                <w:sz w:val="20"/>
                <w:szCs w:val="20"/>
                <w:lang w:val="en-GB" w:eastAsia="en-GB"/>
              </w:rPr>
            </w:pPr>
          </w:p>
        </w:tc>
        <w:tc>
          <w:tcPr>
            <w:tcW w:w="7838"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Draft syllabus</w:t>
            </w:r>
          </w:p>
          <w:p w:rsidR="00766A1C" w:rsidRPr="00766A1C" w:rsidRDefault="00766A1C" w:rsidP="00766A1C">
            <w:pPr>
              <w:jc w:val="left"/>
              <w:rPr>
                <w:rFonts w:ascii="Tahoma" w:eastAsia="Times New Roman" w:hAnsi="Tahoma" w:cs="Tahoma"/>
                <w:sz w:val="20"/>
                <w:szCs w:val="20"/>
                <w:lang w:val="en-GB" w:eastAsia="en-GB"/>
              </w:rPr>
            </w:pPr>
          </w:p>
          <w:p w:rsidR="00766A1C" w:rsidRPr="00766A1C" w:rsidRDefault="00766A1C" w:rsidP="00766A1C">
            <w:pPr>
              <w:jc w:val="both"/>
              <w:rPr>
                <w:rFonts w:ascii="Tahoma" w:eastAsia="Times New Roman" w:hAnsi="Tahoma" w:cs="Tahoma"/>
                <w:sz w:val="20"/>
                <w:szCs w:val="20"/>
                <w:highlight w:val="red"/>
                <w:lang w:val="en-GB" w:eastAsia="en-GB"/>
              </w:rPr>
            </w:pPr>
            <w:r w:rsidRPr="00766A1C">
              <w:rPr>
                <w:rFonts w:ascii="Tahoma" w:eastAsia="Times New Roman" w:hAnsi="Tahoma" w:cs="Tahoma"/>
                <w:sz w:val="20"/>
                <w:szCs w:val="20"/>
                <w:lang w:val="en-GB" w:eastAsia="en-GB"/>
              </w:rPr>
              <w:t>Aim:</w:t>
            </w:r>
            <w:r w:rsidRPr="00766A1C">
              <w:rPr>
                <w:rFonts w:ascii="Tahoma" w:eastAsia="Times New Roman" w:hAnsi="Tahoma" w:cs="Tahoma"/>
                <w:sz w:val="20"/>
                <w:szCs w:val="20"/>
                <w:lang w:val="en-GB" w:eastAsia="en-GB"/>
              </w:rPr>
              <w:br/>
              <w:t xml:space="preserve">The aim of the course is to develop knowledge and understanding about the institutions performing the tasks of supervision and control over the financial system in Poland and the European Union. Students will know their organization, competences and detailed rules of operation and they </w:t>
            </w:r>
            <w:proofErr w:type="spellStart"/>
            <w:r w:rsidRPr="00766A1C">
              <w:rPr>
                <w:rFonts w:ascii="Tahoma" w:eastAsia="Times New Roman" w:hAnsi="Tahoma" w:cs="Tahoma"/>
                <w:sz w:val="20"/>
                <w:szCs w:val="20"/>
                <w:lang w:val="en-GB" w:eastAsia="en-GB"/>
              </w:rPr>
              <w:t>willbe</w:t>
            </w:r>
            <w:proofErr w:type="spellEnd"/>
            <w:r w:rsidRPr="00766A1C">
              <w:rPr>
                <w:rFonts w:ascii="Tahoma" w:eastAsia="Times New Roman" w:hAnsi="Tahoma" w:cs="Tahoma"/>
                <w:sz w:val="20"/>
                <w:szCs w:val="20"/>
                <w:lang w:val="en-GB" w:eastAsia="en-GB"/>
              </w:rPr>
              <w:t xml:space="preserve"> prepared to conduct research on the system of financial supervision and control. The Students will also develop skills to undertake analyses of  the sources of public law regulating the system of control and supervision bodies.. In addition, they will deepen existing general knowledge about public law.</w:t>
            </w:r>
          </w:p>
          <w:p w:rsidR="00766A1C" w:rsidRPr="00766A1C" w:rsidRDefault="00766A1C" w:rsidP="00766A1C">
            <w:pPr>
              <w:jc w:val="both"/>
              <w:rPr>
                <w:rFonts w:ascii="Tahoma" w:eastAsia="Times New Roman" w:hAnsi="Tahoma" w:cs="Tahoma"/>
                <w:sz w:val="20"/>
                <w:szCs w:val="20"/>
                <w:highlight w:val="red"/>
                <w:lang w:val="en-GB" w:eastAsia="en-GB"/>
              </w:rPr>
            </w:pPr>
          </w:p>
          <w:p w:rsidR="00766A1C" w:rsidRPr="00766A1C" w:rsidRDefault="00766A1C" w:rsidP="00766A1C">
            <w:p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Content:</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 The legal basis of the European System of Financial Supervision.</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2. The processes of implementing a new system of financial supervision in the European Union.</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3. The organization and powers of the European Banking Authority.</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4. The organization and powers of the European Insurance and Occupational Pensions Authority.</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5. The organization and powers of the European Supervisory Authority on Securities and Markets.</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6. Coordination between various European Supervisory Authorities.</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7. Macro-prudential oversight of the financial system and the tasks of the European Council for the Systemic Risk.</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8. Selected tasks of the European Central Bank in the field of financial supervision.</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9. The organization and powers of the Financial Supervision Commission.</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10. National supervision over the banking sector.</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11. National supervision over the capital market.</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12. National supervision over the insurance market.</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13. National supervision over the capital in the pension system.</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14. National supervision over the market for payment services.</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15. National supervision over the cooperative bank sector.</w:t>
            </w:r>
          </w:p>
          <w:p w:rsidR="00766A1C" w:rsidRPr="00766A1C" w:rsidRDefault="00766A1C" w:rsidP="00766A1C">
            <w:pPr>
              <w:ind w:left="720"/>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16. The selected tasks of the National Bank of Polish financial supervision.</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 xml:space="preserve">Required textbooks: </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Regulation (EU) No 1093/2010 of the European Parliament and of the Council of 24 November 2010 establishing a European Supervisory Authority (European Banking Authority), Amending Decision No 716/2009/EC and Repealing Commission Decision 2009/78/EC, “Official Journal of the European Union”L31/12, 15.12.2010.</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 xml:space="preserve">Council of the European Union, Financial supervision: Council adopts legal texts establishing the European Systemic Risk Board and three new supervisory authorities, 16452/10 PRESSE 303, Brussels, 17 November 2010. </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 xml:space="preserve">The de </w:t>
            </w:r>
            <w:proofErr w:type="spellStart"/>
            <w:r w:rsidRPr="00766A1C">
              <w:rPr>
                <w:rFonts w:ascii="Tahoma" w:eastAsia="Times New Roman" w:hAnsi="Tahoma" w:cs="Tahoma"/>
                <w:sz w:val="20"/>
                <w:szCs w:val="20"/>
                <w:lang w:val="en-GB" w:eastAsia="en-GB"/>
              </w:rPr>
              <w:t>Larosiere</w:t>
            </w:r>
            <w:proofErr w:type="spellEnd"/>
            <w:r w:rsidRPr="00766A1C">
              <w:rPr>
                <w:rFonts w:ascii="Tahoma" w:eastAsia="Times New Roman" w:hAnsi="Tahoma" w:cs="Tahoma"/>
                <w:sz w:val="20"/>
                <w:szCs w:val="20"/>
                <w:lang w:val="en-GB" w:eastAsia="en-GB"/>
              </w:rPr>
              <w:t xml:space="preserve"> Group, The High-Level Group on Financial Supervision in the EU. Report, </w:t>
            </w:r>
            <w:proofErr w:type="spellStart"/>
            <w:r w:rsidRPr="00766A1C">
              <w:rPr>
                <w:rFonts w:ascii="Tahoma" w:eastAsia="Times New Roman" w:hAnsi="Tahoma" w:cs="Tahoma"/>
                <w:sz w:val="20"/>
                <w:szCs w:val="20"/>
                <w:lang w:val="en-GB" w:eastAsia="en-GB"/>
              </w:rPr>
              <w:t>Bruksela</w:t>
            </w:r>
            <w:proofErr w:type="spellEnd"/>
            <w:r w:rsidRPr="00766A1C">
              <w:rPr>
                <w:rFonts w:ascii="Tahoma" w:eastAsia="Times New Roman" w:hAnsi="Tahoma" w:cs="Tahoma"/>
                <w:sz w:val="20"/>
                <w:szCs w:val="20"/>
                <w:lang w:val="en-GB" w:eastAsia="en-GB"/>
              </w:rPr>
              <w:t xml:space="preserve"> 2009.</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G-20 Backs Sustained Crisis Response, Shift in IMF Representation, “IMF Survey Magazine”, 25.08.2009.</w:t>
            </w:r>
          </w:p>
          <w:p w:rsidR="00766A1C" w:rsidRPr="00766A1C" w:rsidRDefault="00766A1C" w:rsidP="00766A1C">
            <w:pPr>
              <w:numPr>
                <w:ilvl w:val="0"/>
                <w:numId w:val="7"/>
              </w:numPr>
              <w:jc w:val="both"/>
              <w:rPr>
                <w:rFonts w:ascii="Tahoma" w:eastAsia="Times New Roman" w:hAnsi="Tahoma" w:cs="Tahoma"/>
                <w:sz w:val="20"/>
                <w:szCs w:val="20"/>
                <w:lang w:eastAsia="en-GB"/>
              </w:rPr>
            </w:pPr>
            <w:r w:rsidRPr="00766A1C">
              <w:rPr>
                <w:rFonts w:ascii="Tahoma" w:eastAsia="Times New Roman" w:hAnsi="Tahoma" w:cs="Tahoma"/>
                <w:sz w:val="20"/>
                <w:szCs w:val="20"/>
                <w:lang w:eastAsia="en-GB"/>
              </w:rPr>
              <w:t xml:space="preserve">Flejterski S., Wstęp do syntezy globalnego kryzysu finansowego, [w:] M. Kalinowski (red.), Rynki finansowe w warunkach kryzysu, </w:t>
            </w:r>
            <w:proofErr w:type="spellStart"/>
            <w:r w:rsidRPr="00766A1C">
              <w:rPr>
                <w:rFonts w:ascii="Tahoma" w:eastAsia="Times New Roman" w:hAnsi="Tahoma" w:cs="Tahoma"/>
                <w:sz w:val="20"/>
                <w:szCs w:val="20"/>
                <w:lang w:eastAsia="en-GB"/>
              </w:rPr>
              <w:t>CeDeWu</w:t>
            </w:r>
            <w:proofErr w:type="spellEnd"/>
            <w:r w:rsidRPr="00766A1C">
              <w:rPr>
                <w:rFonts w:ascii="Tahoma" w:eastAsia="Times New Roman" w:hAnsi="Tahoma" w:cs="Tahoma"/>
                <w:sz w:val="20"/>
                <w:szCs w:val="20"/>
                <w:lang w:eastAsia="en-GB"/>
              </w:rPr>
              <w:t>, Warszawa 2009.</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eastAsia="en-GB"/>
              </w:rPr>
              <w:lastRenderedPageBreak/>
              <w:t xml:space="preserve">Kaszubski R.,  </w:t>
            </w:r>
            <w:proofErr w:type="spellStart"/>
            <w:r w:rsidRPr="00766A1C">
              <w:rPr>
                <w:rFonts w:ascii="Tahoma" w:eastAsia="Times New Roman" w:hAnsi="Tahoma" w:cs="Tahoma"/>
                <w:sz w:val="20"/>
                <w:szCs w:val="20"/>
                <w:lang w:eastAsia="en-GB"/>
              </w:rPr>
              <w:t>Tupaj</w:t>
            </w:r>
            <w:proofErr w:type="spellEnd"/>
            <w:r w:rsidRPr="00766A1C">
              <w:rPr>
                <w:rFonts w:ascii="Tahoma" w:eastAsia="Times New Roman" w:hAnsi="Tahoma" w:cs="Tahoma"/>
                <w:sz w:val="20"/>
                <w:szCs w:val="20"/>
                <w:lang w:eastAsia="en-GB"/>
              </w:rPr>
              <w:t xml:space="preserve"> – Cholewa A., Prawo bankowe. </w:t>
            </w:r>
            <w:proofErr w:type="spellStart"/>
            <w:r w:rsidRPr="00766A1C">
              <w:rPr>
                <w:rFonts w:ascii="Tahoma" w:eastAsia="Times New Roman" w:hAnsi="Tahoma" w:cs="Tahoma"/>
                <w:sz w:val="20"/>
                <w:szCs w:val="20"/>
                <w:lang w:val="en-GB" w:eastAsia="en-GB"/>
              </w:rPr>
              <w:t>Podręcznik</w:t>
            </w:r>
            <w:proofErr w:type="spellEnd"/>
            <w:r w:rsidRPr="00766A1C">
              <w:rPr>
                <w:rFonts w:ascii="Tahoma" w:eastAsia="Times New Roman" w:hAnsi="Tahoma" w:cs="Tahoma"/>
                <w:sz w:val="20"/>
                <w:szCs w:val="20"/>
                <w:lang w:val="en-GB" w:eastAsia="en-GB"/>
              </w:rPr>
              <w:t>,  Wolters  Kluwer, Warszawa 2010.</w:t>
            </w:r>
          </w:p>
          <w:p w:rsidR="00766A1C" w:rsidRPr="00766A1C" w:rsidRDefault="00766A1C" w:rsidP="00766A1C">
            <w:pPr>
              <w:numPr>
                <w:ilvl w:val="0"/>
                <w:numId w:val="7"/>
              </w:numPr>
              <w:jc w:val="both"/>
              <w:rPr>
                <w:rFonts w:ascii="Tahoma" w:eastAsia="Times New Roman" w:hAnsi="Tahoma" w:cs="Tahoma"/>
                <w:sz w:val="20"/>
                <w:szCs w:val="20"/>
                <w:lang w:eastAsia="en-GB"/>
              </w:rPr>
            </w:pPr>
            <w:r w:rsidRPr="00766A1C">
              <w:rPr>
                <w:rFonts w:ascii="Tahoma" w:eastAsia="Times New Roman" w:hAnsi="Tahoma" w:cs="Tahoma"/>
                <w:sz w:val="20"/>
                <w:szCs w:val="20"/>
                <w:lang w:eastAsia="en-GB"/>
              </w:rPr>
              <w:t xml:space="preserve">Koleśnik J., </w:t>
            </w:r>
            <w:proofErr w:type="spellStart"/>
            <w:r w:rsidRPr="00766A1C">
              <w:rPr>
                <w:rFonts w:ascii="Tahoma" w:eastAsia="Times New Roman" w:hAnsi="Tahoma" w:cs="Tahoma"/>
                <w:sz w:val="20"/>
                <w:szCs w:val="20"/>
                <w:lang w:eastAsia="en-GB"/>
              </w:rPr>
              <w:t>Rewieński</w:t>
            </w:r>
            <w:proofErr w:type="spellEnd"/>
            <w:r w:rsidRPr="00766A1C">
              <w:rPr>
                <w:rFonts w:ascii="Tahoma" w:eastAsia="Times New Roman" w:hAnsi="Tahoma" w:cs="Tahoma"/>
                <w:sz w:val="20"/>
                <w:szCs w:val="20"/>
                <w:lang w:eastAsia="en-GB"/>
              </w:rPr>
              <w:t xml:space="preserve"> M., Zabezpieczenia w bankowości- aspekty prawne i regulacyjne, Dom Wydawniczy ABC Grupa Wolters Kluwer, Warszawa 2008.</w:t>
            </w:r>
          </w:p>
          <w:p w:rsidR="00766A1C" w:rsidRPr="00766A1C" w:rsidRDefault="00766A1C" w:rsidP="00766A1C">
            <w:pPr>
              <w:numPr>
                <w:ilvl w:val="0"/>
                <w:numId w:val="7"/>
              </w:numPr>
              <w:jc w:val="both"/>
              <w:rPr>
                <w:rFonts w:ascii="Tahoma" w:eastAsia="Times New Roman" w:hAnsi="Tahoma" w:cs="Tahoma"/>
                <w:sz w:val="20"/>
                <w:szCs w:val="20"/>
                <w:lang w:val="en-GB" w:eastAsia="en-GB"/>
              </w:rPr>
            </w:pPr>
            <w:r w:rsidRPr="00766A1C">
              <w:rPr>
                <w:rFonts w:ascii="Tahoma" w:eastAsia="Times New Roman" w:hAnsi="Tahoma" w:cs="Tahoma"/>
                <w:sz w:val="20"/>
                <w:szCs w:val="20"/>
                <w:lang w:eastAsia="en-GB"/>
              </w:rPr>
              <w:t xml:space="preserve">Kraś I., Rola Narodowego Banku Polskiego w polityce gospodarczej Polski w latach 1997-2010, Wydawnictwo Akademii im. </w:t>
            </w:r>
            <w:r w:rsidRPr="00766A1C">
              <w:rPr>
                <w:rFonts w:ascii="Tahoma" w:eastAsia="Times New Roman" w:hAnsi="Tahoma" w:cs="Tahoma"/>
                <w:sz w:val="20"/>
                <w:szCs w:val="20"/>
                <w:lang w:val="en-GB" w:eastAsia="en-GB"/>
              </w:rPr>
              <w:t xml:space="preserve">Jana </w:t>
            </w:r>
            <w:proofErr w:type="spellStart"/>
            <w:r w:rsidRPr="00766A1C">
              <w:rPr>
                <w:rFonts w:ascii="Tahoma" w:eastAsia="Times New Roman" w:hAnsi="Tahoma" w:cs="Tahoma"/>
                <w:sz w:val="20"/>
                <w:szCs w:val="20"/>
                <w:lang w:val="en-GB" w:eastAsia="en-GB"/>
              </w:rPr>
              <w:t>Długosza</w:t>
            </w:r>
            <w:proofErr w:type="spellEnd"/>
            <w:r w:rsidRPr="00766A1C">
              <w:rPr>
                <w:rFonts w:ascii="Tahoma" w:eastAsia="Times New Roman" w:hAnsi="Tahoma" w:cs="Tahoma"/>
                <w:sz w:val="20"/>
                <w:szCs w:val="20"/>
                <w:lang w:val="en-GB" w:eastAsia="en-GB"/>
              </w:rPr>
              <w:t xml:space="preserve"> w </w:t>
            </w:r>
            <w:proofErr w:type="spellStart"/>
            <w:r w:rsidRPr="00766A1C">
              <w:rPr>
                <w:rFonts w:ascii="Tahoma" w:eastAsia="Times New Roman" w:hAnsi="Tahoma" w:cs="Tahoma"/>
                <w:sz w:val="20"/>
                <w:szCs w:val="20"/>
                <w:lang w:val="en-GB" w:eastAsia="en-GB"/>
              </w:rPr>
              <w:t>Częstochowie</w:t>
            </w:r>
            <w:proofErr w:type="spellEnd"/>
            <w:r w:rsidRPr="00766A1C">
              <w:rPr>
                <w:rFonts w:ascii="Tahoma" w:eastAsia="Times New Roman" w:hAnsi="Tahoma" w:cs="Tahoma"/>
                <w:sz w:val="20"/>
                <w:szCs w:val="20"/>
                <w:lang w:val="en-GB" w:eastAsia="en-GB"/>
              </w:rPr>
              <w:t xml:space="preserve">, </w:t>
            </w:r>
            <w:proofErr w:type="spellStart"/>
            <w:r w:rsidRPr="00766A1C">
              <w:rPr>
                <w:rFonts w:ascii="Tahoma" w:eastAsia="Times New Roman" w:hAnsi="Tahoma" w:cs="Tahoma"/>
                <w:sz w:val="20"/>
                <w:szCs w:val="20"/>
                <w:lang w:val="en-GB" w:eastAsia="en-GB"/>
              </w:rPr>
              <w:t>Częstochowa</w:t>
            </w:r>
            <w:proofErr w:type="spellEnd"/>
            <w:r w:rsidRPr="00766A1C">
              <w:rPr>
                <w:rFonts w:ascii="Tahoma" w:eastAsia="Times New Roman" w:hAnsi="Tahoma" w:cs="Tahoma"/>
                <w:sz w:val="20"/>
                <w:szCs w:val="20"/>
                <w:lang w:val="en-GB" w:eastAsia="en-GB"/>
              </w:rPr>
              <w:t xml:space="preserve"> 2013.</w:t>
            </w:r>
          </w:p>
          <w:p w:rsidR="00766A1C" w:rsidRPr="00766A1C" w:rsidRDefault="00766A1C" w:rsidP="00766A1C">
            <w:pPr>
              <w:numPr>
                <w:ilvl w:val="0"/>
                <w:numId w:val="7"/>
              </w:numPr>
              <w:jc w:val="both"/>
              <w:rPr>
                <w:rFonts w:ascii="Tahoma" w:eastAsia="Times New Roman" w:hAnsi="Tahoma" w:cs="Tahoma"/>
                <w:sz w:val="20"/>
                <w:szCs w:val="20"/>
                <w:lang w:eastAsia="en-GB"/>
              </w:rPr>
            </w:pPr>
            <w:proofErr w:type="spellStart"/>
            <w:r w:rsidRPr="00766A1C">
              <w:rPr>
                <w:rFonts w:ascii="Tahoma" w:eastAsia="Times New Roman" w:hAnsi="Tahoma" w:cs="Tahoma"/>
                <w:sz w:val="20"/>
                <w:szCs w:val="20"/>
                <w:lang w:eastAsia="en-GB"/>
              </w:rPr>
              <w:t>Ofiarski</w:t>
            </w:r>
            <w:proofErr w:type="spellEnd"/>
            <w:r w:rsidRPr="00766A1C">
              <w:rPr>
                <w:rFonts w:ascii="Tahoma" w:eastAsia="Times New Roman" w:hAnsi="Tahoma" w:cs="Tahoma"/>
                <w:sz w:val="20"/>
                <w:szCs w:val="20"/>
                <w:lang w:eastAsia="en-GB"/>
              </w:rPr>
              <w:t xml:space="preserve"> Z., Podstawy prawne bezpiecznego funkcjonowania banków  a standardy Unii Europejskiej, [w:] Materiały konferencyjne, Poznań  14–17 września 2000 r., Bankowość, t. II, Poznań 2000.</w:t>
            </w:r>
          </w:p>
          <w:p w:rsidR="00766A1C" w:rsidRPr="00766A1C" w:rsidRDefault="00766A1C" w:rsidP="00766A1C">
            <w:pPr>
              <w:numPr>
                <w:ilvl w:val="0"/>
                <w:numId w:val="7"/>
              </w:numPr>
              <w:jc w:val="both"/>
              <w:rPr>
                <w:rFonts w:ascii="Tahoma" w:eastAsia="Times New Roman" w:hAnsi="Tahoma" w:cs="Tahoma"/>
                <w:sz w:val="20"/>
                <w:szCs w:val="20"/>
                <w:lang w:eastAsia="en-GB"/>
              </w:rPr>
            </w:pPr>
            <w:r w:rsidRPr="00766A1C">
              <w:rPr>
                <w:rFonts w:ascii="Tahoma" w:eastAsia="Times New Roman" w:hAnsi="Tahoma" w:cs="Tahoma"/>
                <w:sz w:val="20"/>
                <w:szCs w:val="20"/>
                <w:lang w:eastAsia="en-GB"/>
              </w:rPr>
              <w:t>Romanowski M., Prawo papierów wartościowych [w:] „System prawa prywatnego” 2006, t. 18.</w:t>
            </w:r>
          </w:p>
          <w:p w:rsidR="00766A1C" w:rsidRPr="00766A1C" w:rsidRDefault="00766A1C" w:rsidP="00766A1C">
            <w:pPr>
              <w:numPr>
                <w:ilvl w:val="0"/>
                <w:numId w:val="7"/>
              </w:numPr>
              <w:jc w:val="both"/>
              <w:rPr>
                <w:rFonts w:ascii="Tahoma" w:eastAsia="Times New Roman" w:hAnsi="Tahoma" w:cs="Tahoma"/>
                <w:sz w:val="20"/>
                <w:szCs w:val="20"/>
                <w:lang w:eastAsia="en-GB"/>
              </w:rPr>
            </w:pPr>
            <w:r w:rsidRPr="00766A1C">
              <w:rPr>
                <w:rFonts w:ascii="Tahoma" w:eastAsia="Times New Roman" w:hAnsi="Tahoma" w:cs="Tahoma"/>
                <w:sz w:val="20"/>
                <w:szCs w:val="20"/>
                <w:lang w:eastAsia="en-GB"/>
              </w:rPr>
              <w:t>Zoll F. (red),  Prawo bankowe. Komentarz,  tom II, Wolters Kluwer,  Kraków 2005.</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Assessment:</w:t>
            </w:r>
          </w:p>
          <w:p w:rsidR="00766A1C" w:rsidRPr="00766A1C" w:rsidRDefault="00766A1C" w:rsidP="00766A1C">
            <w:pPr>
              <w:jc w:val="both"/>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The course ends with credit to the assessment after the written test.</w:t>
            </w:r>
            <w:r w:rsidRPr="00766A1C">
              <w:rPr>
                <w:rFonts w:ascii="Tahoma" w:eastAsia="Times New Roman" w:hAnsi="Tahoma" w:cs="Tahoma"/>
                <w:sz w:val="20"/>
                <w:szCs w:val="20"/>
                <w:lang w:val="en-GB" w:eastAsia="en-GB"/>
              </w:rPr>
              <w:br/>
              <w:t>The condition for admission to the colloquium is the activity which consists of: attendance, activity in discussions, work with team projects, development of min. 1 individual or group project, the development and delivery min. 1 scientific paper.</w:t>
            </w:r>
          </w:p>
          <w:p w:rsidR="00766A1C" w:rsidRPr="00766A1C" w:rsidRDefault="00766A1C" w:rsidP="00766A1C">
            <w:pPr>
              <w:jc w:val="left"/>
              <w:rPr>
                <w:rFonts w:ascii="Tahoma" w:eastAsia="Times New Roman" w:hAnsi="Tahoma" w:cs="Tahoma"/>
                <w:sz w:val="20"/>
                <w:szCs w:val="20"/>
                <w:highlight w:val="red"/>
                <w:lang w:val="en-GB" w:eastAsia="en-GB"/>
              </w:rPr>
            </w:pP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lastRenderedPageBreak/>
              <w:t>Impact</w:t>
            </w:r>
          </w:p>
        </w:tc>
        <w:tc>
          <w:tcPr>
            <w:tcW w:w="7838" w:type="dxa"/>
            <w:gridSpan w:val="6"/>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highlight w:val="red"/>
                <w:lang w:val="en-GB" w:eastAsia="en-GB"/>
              </w:rPr>
            </w:pPr>
            <w:r w:rsidRPr="00766A1C">
              <w:rPr>
                <w:rFonts w:ascii="Tahoma" w:eastAsia="Times New Roman" w:hAnsi="Tahoma" w:cs="Tahoma"/>
                <w:sz w:val="20"/>
                <w:szCs w:val="20"/>
                <w:lang w:val="en-GB" w:eastAsia="en-GB"/>
              </w:rPr>
              <w:t>Gaining knowledge of financial supervisory and control systems in Poland and the EU. Dissemination of knowledge about the prevention of economic crises.</w:t>
            </w:r>
          </w:p>
        </w:tc>
      </w:tr>
      <w:tr w:rsidR="00766A1C" w:rsidRPr="00766A1C" w:rsidTr="00766A1C">
        <w:trPr>
          <w:trHeight w:val="233"/>
        </w:trPr>
        <w:tc>
          <w:tcPr>
            <w:tcW w:w="1807" w:type="dxa"/>
            <w:tcBorders>
              <w:top w:val="single" w:sz="6" w:space="0" w:color="000000"/>
              <w:left w:val="outset" w:sz="6" w:space="0" w:color="000000"/>
              <w:bottom w:val="nil"/>
              <w:right w:val="single" w:sz="6" w:space="0" w:color="000000"/>
            </w:tcBorders>
            <w:shd w:val="clear" w:color="auto" w:fill="FFFFFF"/>
            <w:vAlign w:val="center"/>
          </w:tcPr>
          <w:p w:rsidR="00766A1C" w:rsidRPr="00766A1C" w:rsidRDefault="00766A1C" w:rsidP="00766A1C">
            <w:pPr>
              <w:jc w:val="left"/>
              <w:rPr>
                <w:rFonts w:ascii="Tahoma" w:eastAsia="Times New Roman" w:hAnsi="Tahoma" w:cs="Tahoma"/>
                <w:b/>
                <w:sz w:val="20"/>
                <w:szCs w:val="20"/>
                <w:lang w:val="en-GB" w:eastAsia="en-GB"/>
              </w:rPr>
            </w:pPr>
          </w:p>
        </w:tc>
        <w:tc>
          <w:tcPr>
            <w:tcW w:w="1744"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1</w:t>
            </w:r>
            <w:r w:rsidRPr="00766A1C">
              <w:rPr>
                <w:rFonts w:ascii="Tahoma" w:eastAsia="Times New Roman" w:hAnsi="Tahoma" w:cs="Tahoma"/>
                <w:b/>
                <w:sz w:val="20"/>
                <w:szCs w:val="20"/>
                <w:vertAlign w:val="superscript"/>
                <w:lang w:val="en-GB" w:eastAsia="en-GB"/>
              </w:rPr>
              <w:t>st</w:t>
            </w:r>
            <w:r w:rsidRPr="00766A1C">
              <w:rPr>
                <w:rFonts w:ascii="Tahoma" w:eastAsia="Times New Roman" w:hAnsi="Tahoma" w:cs="Tahoma"/>
                <w:b/>
                <w:sz w:val="20"/>
                <w:szCs w:val="20"/>
                <w:lang w:val="en-GB" w:eastAsia="en-GB"/>
              </w:rPr>
              <w:t xml:space="preserve"> acad. year:</w:t>
            </w:r>
          </w:p>
        </w:tc>
        <w:tc>
          <w:tcPr>
            <w:tcW w:w="1701" w:type="dxa"/>
            <w:gridSpan w:val="3"/>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2</w:t>
            </w:r>
            <w:r w:rsidRPr="00766A1C">
              <w:rPr>
                <w:rFonts w:ascii="Tahoma" w:eastAsia="Times New Roman" w:hAnsi="Tahoma" w:cs="Tahoma"/>
                <w:b/>
                <w:sz w:val="20"/>
                <w:szCs w:val="20"/>
                <w:vertAlign w:val="superscript"/>
                <w:lang w:val="en-GB" w:eastAsia="en-GB"/>
              </w:rPr>
              <w:t>nd</w:t>
            </w:r>
            <w:r w:rsidRPr="00766A1C">
              <w:rPr>
                <w:rFonts w:ascii="Tahoma" w:eastAsia="Times New Roman" w:hAnsi="Tahoma" w:cs="Tahoma"/>
                <w:b/>
                <w:sz w:val="20"/>
                <w:szCs w:val="20"/>
                <w:lang w:val="en-GB" w:eastAsia="en-GB"/>
              </w:rPr>
              <w:t xml:space="preserve"> acad. year:</w:t>
            </w:r>
          </w:p>
        </w:tc>
        <w:tc>
          <w:tcPr>
            <w:tcW w:w="1701"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3</w:t>
            </w:r>
            <w:r w:rsidRPr="00766A1C">
              <w:rPr>
                <w:rFonts w:ascii="Tahoma" w:eastAsia="Times New Roman" w:hAnsi="Tahoma" w:cs="Tahoma"/>
                <w:b/>
                <w:sz w:val="20"/>
                <w:szCs w:val="20"/>
                <w:vertAlign w:val="superscript"/>
                <w:lang w:val="en-GB" w:eastAsia="en-GB"/>
              </w:rPr>
              <w:t>rd</w:t>
            </w:r>
            <w:r w:rsidRPr="00766A1C">
              <w:rPr>
                <w:rFonts w:ascii="Tahoma" w:eastAsia="Times New Roman" w:hAnsi="Tahoma" w:cs="Tahoma"/>
                <w:b/>
                <w:sz w:val="20"/>
                <w:szCs w:val="20"/>
                <w:lang w:val="en-GB" w:eastAsia="en-GB"/>
              </w:rPr>
              <w:t xml:space="preserve"> acad. year:</w:t>
            </w:r>
          </w:p>
        </w:tc>
        <w:tc>
          <w:tcPr>
            <w:tcW w:w="2692"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Total over 3 years:</w:t>
            </w:r>
          </w:p>
        </w:tc>
      </w:tr>
      <w:tr w:rsidR="00766A1C" w:rsidRPr="00766A1C" w:rsidTr="00766A1C">
        <w:trPr>
          <w:trHeight w:val="232"/>
        </w:trPr>
        <w:tc>
          <w:tcPr>
            <w:tcW w:w="1807" w:type="dxa"/>
            <w:tcBorders>
              <w:top w:val="nil"/>
              <w:left w:val="outset" w:sz="6" w:space="0" w:color="000000"/>
              <w:bottom w:val="nil"/>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N° of hours</w:t>
            </w:r>
          </w:p>
        </w:tc>
        <w:tc>
          <w:tcPr>
            <w:tcW w:w="1744"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30</w:t>
            </w:r>
          </w:p>
        </w:tc>
        <w:tc>
          <w:tcPr>
            <w:tcW w:w="1701" w:type="dxa"/>
            <w:gridSpan w:val="3"/>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30</w:t>
            </w:r>
          </w:p>
        </w:tc>
        <w:tc>
          <w:tcPr>
            <w:tcW w:w="1701"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30</w:t>
            </w:r>
          </w:p>
        </w:tc>
        <w:tc>
          <w:tcPr>
            <w:tcW w:w="2692" w:type="dxa"/>
            <w:tcBorders>
              <w:top w:val="single" w:sz="6" w:space="0" w:color="000000"/>
              <w:left w:val="single" w:sz="6" w:space="0" w:color="000000"/>
              <w:bottom w:val="nil"/>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90</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20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20</w:t>
            </w: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20</w:t>
            </w:r>
          </w:p>
        </w:tc>
        <w:tc>
          <w:tcPr>
            <w:tcW w:w="2692" w:type="dxa"/>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60</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 xml:space="preserve">Discipline of </w:t>
            </w:r>
          </w:p>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audience</w:t>
            </w:r>
          </w:p>
        </w:tc>
        <w:tc>
          <w:tcPr>
            <w:tcW w:w="7838" w:type="dxa"/>
            <w:gridSpan w:val="6"/>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ind w:left="180"/>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Public Administration, Internal Security, International Relations, Political Science, Social Economics, Law</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Year/type of study</w:t>
            </w:r>
          </w:p>
          <w:p w:rsidR="00766A1C" w:rsidRPr="00766A1C" w:rsidRDefault="00766A1C" w:rsidP="00766A1C">
            <w:pPr>
              <w:jc w:val="left"/>
              <w:rPr>
                <w:rFonts w:ascii="Tahoma" w:eastAsia="Times New Roman" w:hAnsi="Tahoma" w:cs="Tahoma"/>
                <w:b/>
                <w:sz w:val="20"/>
                <w:szCs w:val="20"/>
                <w:lang w:val="en-GB" w:eastAsia="en-GB"/>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1</w:t>
            </w:r>
            <w:r w:rsidRPr="00766A1C">
              <w:rPr>
                <w:rFonts w:ascii="Tahoma" w:eastAsia="Times New Roman" w:hAnsi="Tahoma" w:cs="Tahoma"/>
                <w:sz w:val="20"/>
                <w:szCs w:val="20"/>
                <w:vertAlign w:val="superscript"/>
                <w:lang w:val="en-GB" w:eastAsia="en-GB"/>
              </w:rPr>
              <w:t>st</w:t>
            </w:r>
            <w:r w:rsidRPr="00766A1C">
              <w:rPr>
                <w:rFonts w:ascii="Tahoma" w:eastAsia="Times New Roman" w:hAnsi="Tahoma" w:cs="Tahoma"/>
                <w:sz w:val="20"/>
                <w:szCs w:val="20"/>
                <w:lang w:val="en-GB" w:eastAsia="en-GB"/>
              </w:rPr>
              <w:t xml:space="preserve"> cycle (Bachelor)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2</w:t>
            </w:r>
            <w:r w:rsidRPr="00766A1C">
              <w:rPr>
                <w:rFonts w:ascii="Tahoma" w:eastAsia="Times New Roman" w:hAnsi="Tahoma" w:cs="Tahoma"/>
                <w:sz w:val="20"/>
                <w:szCs w:val="20"/>
                <w:vertAlign w:val="superscript"/>
                <w:lang w:val="en-GB" w:eastAsia="en-GB"/>
              </w:rPr>
              <w:t>nd</w:t>
            </w:r>
            <w:r w:rsidRPr="00766A1C">
              <w:rPr>
                <w:rFonts w:ascii="Tahoma" w:eastAsia="Times New Roman" w:hAnsi="Tahoma" w:cs="Tahoma"/>
                <w:sz w:val="20"/>
                <w:szCs w:val="20"/>
                <w:lang w:val="en-GB" w:eastAsia="en-GB"/>
              </w:rPr>
              <w:t xml:space="preserve"> cycle (Masters)</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3</w:t>
            </w:r>
            <w:r w:rsidRPr="00766A1C">
              <w:rPr>
                <w:rFonts w:ascii="Tahoma" w:eastAsia="Times New Roman" w:hAnsi="Tahoma" w:cs="Tahoma"/>
                <w:sz w:val="20"/>
                <w:szCs w:val="20"/>
                <w:vertAlign w:val="superscript"/>
                <w:lang w:val="en-GB" w:eastAsia="en-GB"/>
              </w:rPr>
              <w:t>rd</w:t>
            </w:r>
            <w:r w:rsidRPr="00766A1C">
              <w:rPr>
                <w:rFonts w:ascii="Tahoma" w:eastAsia="Times New Roman" w:hAnsi="Tahoma" w:cs="Tahoma"/>
                <w:sz w:val="20"/>
                <w:szCs w:val="20"/>
                <w:lang w:val="en-GB" w:eastAsia="en-GB"/>
              </w:rPr>
              <w:t xml:space="preserve"> cycle (Postgraduate)</w:t>
            </w:r>
          </w:p>
        </w:tc>
        <w:tc>
          <w:tcPr>
            <w:tcW w:w="4598"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Doctoral studies</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Summer school</w:t>
            </w:r>
          </w:p>
          <w:p w:rsidR="00766A1C" w:rsidRPr="00766A1C" w:rsidRDefault="00766A1C" w:rsidP="00766A1C">
            <w:pPr>
              <w:jc w:val="left"/>
              <w:rPr>
                <w:rFonts w:ascii="Tahoma" w:eastAsia="Times New Roman" w:hAnsi="Tahoma" w:cs="Tahoma"/>
                <w:sz w:val="20"/>
                <w:szCs w:val="20"/>
                <w:lang w:val="en-GB" w:eastAsia="en-GB"/>
              </w:rPr>
            </w:pPr>
          </w:p>
        </w:tc>
      </w:tr>
      <w:tr w:rsidR="00766A1C" w:rsidRPr="00766A1C" w:rsidTr="00766A1C">
        <w:tc>
          <w:tcPr>
            <w:tcW w:w="1807" w:type="dxa"/>
            <w:tcBorders>
              <w:top w:val="single" w:sz="6" w:space="0" w:color="000000"/>
              <w:left w:val="outset" w:sz="6" w:space="0" w:color="000000"/>
              <w:bottom w:val="single"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Nature</w:t>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Compulsory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Optional</w:t>
            </w:r>
          </w:p>
        </w:tc>
        <w:tc>
          <w:tcPr>
            <w:tcW w:w="4598" w:type="dxa"/>
            <w:gridSpan w:val="4"/>
            <w:tcBorders>
              <w:top w:val="single" w:sz="6" w:space="0" w:color="000000"/>
              <w:left w:val="single" w:sz="6" w:space="0" w:color="000000"/>
              <w:bottom w:val="single"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 xml:space="preserve">x New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Existing</w:t>
            </w:r>
          </w:p>
        </w:tc>
      </w:tr>
      <w:tr w:rsidR="00766A1C" w:rsidRPr="00766A1C" w:rsidTr="00766A1C">
        <w:tc>
          <w:tcPr>
            <w:tcW w:w="1807" w:type="dxa"/>
            <w:tcBorders>
              <w:top w:val="single" w:sz="6" w:space="0" w:color="000000"/>
              <w:left w:val="outset" w:sz="6" w:space="0" w:color="000000"/>
              <w:bottom w:val="inset" w:sz="6" w:space="0" w:color="000000"/>
              <w:right w:val="single" w:sz="6" w:space="0" w:color="000000"/>
            </w:tcBorders>
            <w:shd w:val="clear" w:color="auto" w:fill="FFFFFF"/>
            <w:vAlign w:val="center"/>
            <w:hideMark/>
          </w:tcPr>
          <w:p w:rsidR="00766A1C" w:rsidRPr="00766A1C" w:rsidRDefault="00766A1C" w:rsidP="00766A1C">
            <w:pPr>
              <w:jc w:val="left"/>
              <w:rPr>
                <w:rFonts w:ascii="Tahoma" w:eastAsia="Times New Roman" w:hAnsi="Tahoma" w:cs="Tahoma"/>
                <w:b/>
                <w:sz w:val="20"/>
                <w:szCs w:val="20"/>
                <w:lang w:val="en-GB" w:eastAsia="en-GB"/>
              </w:rPr>
            </w:pPr>
            <w:r w:rsidRPr="00766A1C">
              <w:rPr>
                <w:rFonts w:ascii="Tahoma" w:eastAsia="Times New Roman" w:hAnsi="Tahoma" w:cs="Tahoma"/>
                <w:b/>
                <w:sz w:val="20"/>
                <w:szCs w:val="20"/>
                <w:lang w:val="en-GB" w:eastAsia="en-GB"/>
              </w:rPr>
              <w:t>Timing</w:t>
            </w:r>
            <w:bookmarkStart w:id="0" w:name="_GoBack"/>
            <w:bookmarkEnd w:id="0"/>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hideMark/>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1</w:t>
            </w:r>
            <w:r w:rsidRPr="00766A1C">
              <w:rPr>
                <w:rFonts w:ascii="Tahoma" w:eastAsia="Times New Roman" w:hAnsi="Tahoma" w:cs="Tahoma"/>
                <w:sz w:val="20"/>
                <w:szCs w:val="20"/>
                <w:vertAlign w:val="superscript"/>
                <w:lang w:val="en-GB" w:eastAsia="en-GB"/>
              </w:rPr>
              <w:t>st</w:t>
            </w:r>
            <w:r w:rsidRPr="00766A1C">
              <w:rPr>
                <w:rFonts w:ascii="Tahoma" w:eastAsia="Times New Roman" w:hAnsi="Tahoma" w:cs="Tahoma"/>
                <w:sz w:val="20"/>
                <w:szCs w:val="20"/>
                <w:lang w:val="en-GB" w:eastAsia="en-GB"/>
              </w:rPr>
              <w:t xml:space="preserve"> year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2</w:t>
            </w:r>
            <w:r w:rsidRPr="00766A1C">
              <w:rPr>
                <w:rFonts w:ascii="Tahoma" w:eastAsia="Times New Roman" w:hAnsi="Tahoma" w:cs="Tahoma"/>
                <w:sz w:val="20"/>
                <w:szCs w:val="20"/>
                <w:vertAlign w:val="superscript"/>
                <w:lang w:val="en-GB" w:eastAsia="en-GB"/>
              </w:rPr>
              <w:t>nd</w:t>
            </w:r>
            <w:r w:rsidRPr="00766A1C">
              <w:rPr>
                <w:rFonts w:ascii="Tahoma" w:eastAsia="Times New Roman" w:hAnsi="Tahoma" w:cs="Tahoma"/>
                <w:sz w:val="20"/>
                <w:szCs w:val="20"/>
                <w:lang w:val="en-GB" w:eastAsia="en-GB"/>
              </w:rPr>
              <w:t xml:space="preserve"> year</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3</w:t>
            </w:r>
            <w:r w:rsidRPr="00766A1C">
              <w:rPr>
                <w:rFonts w:ascii="Tahoma" w:eastAsia="Times New Roman" w:hAnsi="Tahoma" w:cs="Tahoma"/>
                <w:sz w:val="20"/>
                <w:szCs w:val="20"/>
                <w:vertAlign w:val="superscript"/>
                <w:lang w:val="en-GB" w:eastAsia="en-GB"/>
              </w:rPr>
              <w:t>rd</w:t>
            </w:r>
            <w:r w:rsidRPr="00766A1C">
              <w:rPr>
                <w:rFonts w:ascii="Tahoma" w:eastAsia="Times New Roman" w:hAnsi="Tahoma" w:cs="Tahoma"/>
                <w:sz w:val="20"/>
                <w:szCs w:val="20"/>
                <w:lang w:val="en-GB" w:eastAsia="en-GB"/>
              </w:rPr>
              <w:t xml:space="preserve"> year</w:t>
            </w:r>
          </w:p>
        </w:tc>
        <w:tc>
          <w:tcPr>
            <w:tcW w:w="4598"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sym w:font="Wingdings" w:char="F06F"/>
            </w:r>
            <w:r w:rsidRPr="00766A1C">
              <w:rPr>
                <w:rFonts w:ascii="Tahoma" w:eastAsia="Times New Roman" w:hAnsi="Tahoma" w:cs="Tahoma"/>
                <w:sz w:val="20"/>
                <w:szCs w:val="20"/>
                <w:lang w:val="en-GB" w:eastAsia="en-GB"/>
              </w:rPr>
              <w:t xml:space="preserve"> 1</w:t>
            </w:r>
            <w:r w:rsidRPr="00766A1C">
              <w:rPr>
                <w:rFonts w:ascii="Tahoma" w:eastAsia="Times New Roman" w:hAnsi="Tahoma" w:cs="Tahoma"/>
                <w:sz w:val="20"/>
                <w:szCs w:val="20"/>
                <w:vertAlign w:val="superscript"/>
                <w:lang w:val="en-GB" w:eastAsia="en-GB"/>
              </w:rPr>
              <w:t>st</w:t>
            </w:r>
            <w:r w:rsidRPr="00766A1C">
              <w:rPr>
                <w:rFonts w:ascii="Tahoma" w:eastAsia="Times New Roman" w:hAnsi="Tahoma" w:cs="Tahoma"/>
                <w:sz w:val="20"/>
                <w:szCs w:val="20"/>
                <w:lang w:val="en-GB" w:eastAsia="en-GB"/>
              </w:rPr>
              <w:t xml:space="preserve"> semester  </w:t>
            </w:r>
          </w:p>
          <w:p w:rsidR="00766A1C" w:rsidRPr="00766A1C" w:rsidRDefault="00766A1C" w:rsidP="00766A1C">
            <w:pPr>
              <w:jc w:val="left"/>
              <w:rPr>
                <w:rFonts w:ascii="Tahoma" w:eastAsia="Times New Roman" w:hAnsi="Tahoma" w:cs="Tahoma"/>
                <w:sz w:val="20"/>
                <w:szCs w:val="20"/>
                <w:lang w:val="en-GB" w:eastAsia="en-GB"/>
              </w:rPr>
            </w:pPr>
            <w:r w:rsidRPr="00766A1C">
              <w:rPr>
                <w:rFonts w:ascii="Tahoma" w:eastAsia="Times New Roman" w:hAnsi="Tahoma" w:cs="Tahoma"/>
                <w:sz w:val="20"/>
                <w:szCs w:val="20"/>
                <w:lang w:val="en-GB" w:eastAsia="en-GB"/>
              </w:rPr>
              <w:t>x 2</w:t>
            </w:r>
            <w:r w:rsidRPr="00766A1C">
              <w:rPr>
                <w:rFonts w:ascii="Tahoma" w:eastAsia="Times New Roman" w:hAnsi="Tahoma" w:cs="Tahoma"/>
                <w:sz w:val="20"/>
                <w:szCs w:val="20"/>
                <w:vertAlign w:val="superscript"/>
                <w:lang w:val="en-GB" w:eastAsia="en-GB"/>
              </w:rPr>
              <w:t>nd</w:t>
            </w:r>
            <w:r w:rsidRPr="00766A1C">
              <w:rPr>
                <w:rFonts w:ascii="Tahoma" w:eastAsia="Times New Roman" w:hAnsi="Tahoma" w:cs="Tahoma"/>
                <w:sz w:val="20"/>
                <w:szCs w:val="20"/>
                <w:lang w:val="en-GB" w:eastAsia="en-GB"/>
              </w:rPr>
              <w:t xml:space="preserve"> semester</w:t>
            </w:r>
          </w:p>
          <w:p w:rsidR="00766A1C" w:rsidRPr="00766A1C" w:rsidRDefault="00766A1C" w:rsidP="00766A1C">
            <w:pPr>
              <w:jc w:val="left"/>
              <w:rPr>
                <w:rFonts w:ascii="Tahoma" w:eastAsia="Times New Roman" w:hAnsi="Tahoma" w:cs="Tahoma"/>
                <w:sz w:val="20"/>
                <w:szCs w:val="20"/>
                <w:lang w:val="en-GB" w:eastAsia="en-GB"/>
              </w:rPr>
            </w:pPr>
          </w:p>
        </w:tc>
      </w:tr>
    </w:tbl>
    <w:p w:rsidR="00766A1C" w:rsidRPr="00766A1C" w:rsidRDefault="00766A1C" w:rsidP="00766A1C">
      <w:pPr>
        <w:jc w:val="left"/>
        <w:rPr>
          <w:rFonts w:ascii="Tahoma" w:eastAsia="Times New Roman" w:hAnsi="Tahoma" w:cs="Tahoma"/>
          <w:sz w:val="20"/>
          <w:szCs w:val="20"/>
          <w:lang w:val="en-GB" w:eastAsia="en-GB"/>
        </w:rPr>
      </w:pPr>
    </w:p>
    <w:p w:rsidR="00766A1C" w:rsidRPr="00766A1C" w:rsidRDefault="00766A1C" w:rsidP="00766A1C">
      <w:pPr>
        <w:jc w:val="left"/>
        <w:rPr>
          <w:rFonts w:ascii="Tahoma" w:eastAsia="Times New Roman" w:hAnsi="Tahoma" w:cs="Tahoma"/>
          <w:sz w:val="20"/>
          <w:szCs w:val="20"/>
          <w:lang w:val="en-GB" w:eastAsia="en-GB"/>
        </w:rPr>
      </w:pPr>
    </w:p>
    <w:p w:rsidR="00766A1C" w:rsidRPr="00766A1C" w:rsidRDefault="00766A1C" w:rsidP="00766A1C">
      <w:pPr>
        <w:jc w:val="left"/>
        <w:rPr>
          <w:rFonts w:ascii="Tahoma" w:eastAsia="Times New Roman" w:hAnsi="Tahoma" w:cs="Tahoma"/>
          <w:sz w:val="20"/>
          <w:szCs w:val="20"/>
          <w:lang w:val="en-GB" w:eastAsia="en-GB"/>
        </w:rPr>
      </w:pPr>
    </w:p>
    <w:p w:rsidR="00F4321C" w:rsidRDefault="00F4321C"/>
    <w:sectPr w:rsidR="00F432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AB" w:rsidRDefault="00AD60AB" w:rsidP="00766A1C">
      <w:r>
        <w:separator/>
      </w:r>
    </w:p>
  </w:endnote>
  <w:endnote w:type="continuationSeparator" w:id="0">
    <w:p w:rsidR="00AD60AB" w:rsidRDefault="00AD60AB" w:rsidP="0076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AB" w:rsidRDefault="00AD60AB" w:rsidP="00766A1C">
      <w:r>
        <w:separator/>
      </w:r>
    </w:p>
  </w:footnote>
  <w:footnote w:type="continuationSeparator" w:id="0">
    <w:p w:rsidR="00AD60AB" w:rsidRDefault="00AD60AB" w:rsidP="0076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910"/>
    <w:multiLevelType w:val="multilevel"/>
    <w:tmpl w:val="C9E29FF2"/>
    <w:lvl w:ilvl="0">
      <w:start w:val="1"/>
      <w:numFmt w:val="decimal"/>
      <w:lvlText w:val="%1."/>
      <w:lvlJc w:val="left"/>
      <w:pPr>
        <w:ind w:left="1395" w:hanging="360"/>
      </w:pPr>
    </w:lvl>
    <w:lvl w:ilvl="1">
      <w:start w:val="1"/>
      <w:numFmt w:val="decimal"/>
      <w:isLgl/>
      <w:lvlText w:val="%1.%2."/>
      <w:lvlJc w:val="left"/>
      <w:pPr>
        <w:ind w:left="1755" w:hanging="360"/>
      </w:pPr>
    </w:lvl>
    <w:lvl w:ilvl="2">
      <w:start w:val="1"/>
      <w:numFmt w:val="decimal"/>
      <w:isLgl/>
      <w:lvlText w:val="%1.%2.%3."/>
      <w:lvlJc w:val="left"/>
      <w:pPr>
        <w:ind w:left="2475" w:hanging="720"/>
      </w:pPr>
    </w:lvl>
    <w:lvl w:ilvl="3">
      <w:start w:val="1"/>
      <w:numFmt w:val="decimal"/>
      <w:isLgl/>
      <w:lvlText w:val="%1.%2.%3.%4."/>
      <w:lvlJc w:val="left"/>
      <w:pPr>
        <w:ind w:left="2835" w:hanging="720"/>
      </w:pPr>
    </w:lvl>
    <w:lvl w:ilvl="4">
      <w:start w:val="1"/>
      <w:numFmt w:val="decimal"/>
      <w:isLgl/>
      <w:lvlText w:val="%1.%2.%3.%4.%5."/>
      <w:lvlJc w:val="left"/>
      <w:pPr>
        <w:ind w:left="3555" w:hanging="1080"/>
      </w:pPr>
    </w:lvl>
    <w:lvl w:ilvl="5">
      <w:start w:val="1"/>
      <w:numFmt w:val="decimal"/>
      <w:isLgl/>
      <w:lvlText w:val="%1.%2.%3.%4.%5.%6."/>
      <w:lvlJc w:val="left"/>
      <w:pPr>
        <w:ind w:left="3915" w:hanging="1080"/>
      </w:pPr>
    </w:lvl>
    <w:lvl w:ilvl="6">
      <w:start w:val="1"/>
      <w:numFmt w:val="decimal"/>
      <w:isLgl/>
      <w:lvlText w:val="%1.%2.%3.%4.%5.%6.%7."/>
      <w:lvlJc w:val="left"/>
      <w:pPr>
        <w:ind w:left="4635" w:hanging="1440"/>
      </w:pPr>
    </w:lvl>
    <w:lvl w:ilvl="7">
      <w:start w:val="1"/>
      <w:numFmt w:val="decimal"/>
      <w:isLgl/>
      <w:lvlText w:val="%1.%2.%3.%4.%5.%6.%7.%8."/>
      <w:lvlJc w:val="left"/>
      <w:pPr>
        <w:ind w:left="4995" w:hanging="1440"/>
      </w:pPr>
    </w:lvl>
    <w:lvl w:ilvl="8">
      <w:start w:val="1"/>
      <w:numFmt w:val="decimal"/>
      <w:isLgl/>
      <w:lvlText w:val="%1.%2.%3.%4.%5.%6.%7.%8.%9."/>
      <w:lvlJc w:val="left"/>
      <w:pPr>
        <w:ind w:left="5715" w:hanging="1800"/>
      </w:pPr>
    </w:lvl>
  </w:abstractNum>
  <w:abstractNum w:abstractNumId="1">
    <w:nsid w:val="3B0E4D17"/>
    <w:multiLevelType w:val="hybridMultilevel"/>
    <w:tmpl w:val="46325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925D58"/>
    <w:multiLevelType w:val="hybridMultilevel"/>
    <w:tmpl w:val="EDCC5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876F62"/>
    <w:multiLevelType w:val="hybridMultilevel"/>
    <w:tmpl w:val="4D9C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F465DC"/>
    <w:multiLevelType w:val="hybridMultilevel"/>
    <w:tmpl w:val="93523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8AE6DE4"/>
    <w:multiLevelType w:val="hybridMultilevel"/>
    <w:tmpl w:val="3C3C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C7E524C"/>
    <w:multiLevelType w:val="hybridMultilevel"/>
    <w:tmpl w:val="5106B912"/>
    <w:lvl w:ilvl="0" w:tplc="79CC0634">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1C"/>
    <w:rsid w:val="00766A1C"/>
    <w:rsid w:val="00AD60AB"/>
    <w:rsid w:val="00F4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66A1C"/>
    <w:rPr>
      <w:sz w:val="20"/>
      <w:szCs w:val="20"/>
    </w:rPr>
  </w:style>
  <w:style w:type="character" w:customStyle="1" w:styleId="TekstprzypisudolnegoZnak">
    <w:name w:val="Tekst przypisu dolnego Znak"/>
    <w:basedOn w:val="Domylnaczcionkaakapitu"/>
    <w:link w:val="Tekstprzypisudolnego"/>
    <w:uiPriority w:val="99"/>
    <w:semiHidden/>
    <w:rsid w:val="00766A1C"/>
    <w:rPr>
      <w:sz w:val="20"/>
      <w:szCs w:val="20"/>
    </w:rPr>
  </w:style>
  <w:style w:type="character" w:styleId="Odwoanieprzypisudolnego">
    <w:name w:val="footnote reference"/>
    <w:basedOn w:val="Domylnaczcionkaakapitu"/>
    <w:semiHidden/>
    <w:rsid w:val="00766A1C"/>
    <w:rPr>
      <w:rFonts w:cs="Times New Roman"/>
      <w:position w:val="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66A1C"/>
    <w:rPr>
      <w:sz w:val="20"/>
      <w:szCs w:val="20"/>
    </w:rPr>
  </w:style>
  <w:style w:type="character" w:customStyle="1" w:styleId="TekstprzypisudolnegoZnak">
    <w:name w:val="Tekst przypisu dolnego Znak"/>
    <w:basedOn w:val="Domylnaczcionkaakapitu"/>
    <w:link w:val="Tekstprzypisudolnego"/>
    <w:uiPriority w:val="99"/>
    <w:semiHidden/>
    <w:rsid w:val="00766A1C"/>
    <w:rPr>
      <w:sz w:val="20"/>
      <w:szCs w:val="20"/>
    </w:rPr>
  </w:style>
  <w:style w:type="character" w:styleId="Odwoanieprzypisudolnego">
    <w:name w:val="footnote reference"/>
    <w:basedOn w:val="Domylnaczcionkaakapitu"/>
    <w:semiHidden/>
    <w:rsid w:val="00766A1C"/>
    <w:rPr>
      <w:rFonts w:cs="Times New Roman"/>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1</cp:revision>
  <dcterms:created xsi:type="dcterms:W3CDTF">2017-09-15T06:48:00Z</dcterms:created>
  <dcterms:modified xsi:type="dcterms:W3CDTF">2017-09-15T07:00:00Z</dcterms:modified>
</cp:coreProperties>
</file>