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85" w:rsidRPr="00C31E85" w:rsidRDefault="00C31E85" w:rsidP="00C31E85">
      <w:pPr>
        <w:jc w:val="left"/>
        <w:rPr>
          <w:rFonts w:ascii="Tahoma" w:eastAsia="Times New Roman" w:hAnsi="Tahoma" w:cs="Tahoma"/>
          <w:sz w:val="20"/>
          <w:szCs w:val="20"/>
          <w:lang w:val="en-GB" w:eastAsia="en-G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C31E85" w:rsidRPr="00C31E85" w:rsidTr="001752AD">
        <w:tc>
          <w:tcPr>
            <w:tcW w:w="9647" w:type="dxa"/>
            <w:gridSpan w:val="7"/>
            <w:tcBorders>
              <w:top w:val="outset" w:sz="6" w:space="0" w:color="000000"/>
              <w:left w:val="outset" w:sz="6" w:space="0" w:color="000000"/>
              <w:bottom w:val="single" w:sz="6" w:space="0" w:color="000000"/>
              <w:right w:val="inset" w:sz="6" w:space="0" w:color="000000"/>
            </w:tcBorders>
            <w:shd w:val="clear" w:color="auto" w:fill="FFFFFF"/>
            <w:vAlign w:val="center"/>
          </w:tcPr>
          <w:p w:rsidR="00C31E85" w:rsidRPr="00C31E85" w:rsidRDefault="00C31E85" w:rsidP="00C31E85">
            <w:pPr>
              <w:ind w:left="180"/>
              <w:rPr>
                <w:rFonts w:ascii="Tahoma" w:eastAsia="Times New Roman" w:hAnsi="Tahoma" w:cs="Tahoma"/>
                <w:sz w:val="20"/>
                <w:szCs w:val="20"/>
                <w:lang w:val="en-GB" w:eastAsia="en-GB"/>
              </w:rPr>
            </w:pPr>
            <w:r w:rsidRPr="00380D29">
              <w:rPr>
                <w:rFonts w:ascii="Tahoma" w:eastAsia="Times New Roman" w:hAnsi="Tahoma" w:cs="Tahoma"/>
                <w:sz w:val="32"/>
                <w:szCs w:val="32"/>
                <w:lang w:val="en-GB" w:eastAsia="en-GB"/>
              </w:rPr>
              <w:t>Syllabus</w:t>
            </w:r>
          </w:p>
        </w:tc>
      </w:tr>
      <w:tr w:rsidR="00C31E85" w:rsidRPr="00C31E85" w:rsidTr="0031718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b/>
                <w:bCs/>
                <w:sz w:val="20"/>
                <w:szCs w:val="20"/>
                <w:lang w:val="en-GB" w:eastAsia="en-GB"/>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sz w:val="20"/>
                <w:szCs w:val="20"/>
                <w:lang w:val="en-GB" w:eastAsia="en-GB"/>
              </w:rPr>
              <w:t xml:space="preserve"> European data protection authorities </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Prof. in charge</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t xml:space="preserve">dr Agata Nodżak </w:t>
            </w:r>
            <w:r w:rsidR="00EF3B67">
              <w:rPr>
                <w:rFonts w:ascii="Tahoma" w:eastAsia="Times New Roman" w:hAnsi="Tahoma" w:cs="Tahoma"/>
                <w:sz w:val="20"/>
                <w:szCs w:val="20"/>
                <w:lang w:eastAsia="en-GB"/>
              </w:rPr>
              <w:t>/ dr Monika Skowrońska</w:t>
            </w:r>
            <w:bookmarkStart w:id="0" w:name="_GoBack"/>
            <w:bookmarkEnd w:id="0"/>
          </w:p>
        </w:tc>
      </w:tr>
      <w:tr w:rsidR="00C31E85" w:rsidRPr="00C31E85" w:rsidTr="00317182">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Lecture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Seminar</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Summer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Training course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Intensive course</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Distance learning course</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p>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Description</w:t>
            </w:r>
          </w:p>
          <w:p w:rsidR="00C31E85" w:rsidRPr="00C31E85" w:rsidRDefault="00C31E85" w:rsidP="00C31E85">
            <w:pPr>
              <w:jc w:val="left"/>
              <w:rPr>
                <w:rFonts w:ascii="Tahoma" w:eastAsia="Times New Roman" w:hAnsi="Tahoma" w:cs="Tahoma"/>
                <w:b/>
                <w:sz w:val="20"/>
                <w:szCs w:val="20"/>
                <w:lang w:val="en-GB" w:eastAsia="en-GB"/>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draft syllabus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Aim:</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enhance/foster/develop enable students competence towards analysing the European institutional mechanism to supervise the protection of personal data.</w:t>
            </w:r>
          </w:p>
          <w:p w:rsidR="00C31E85" w:rsidRPr="00C31E85" w:rsidRDefault="00C31E85" w:rsidP="00C31E85">
            <w:pPr>
              <w:jc w:val="left"/>
              <w:rPr>
                <w:rFonts w:ascii="Tahoma" w:eastAsia="Times New Roman" w:hAnsi="Tahoma" w:cs="Tahoma"/>
                <w:sz w:val="20"/>
                <w:szCs w:val="20"/>
                <w:lang w:val="en-GB" w:eastAsia="en-GB"/>
              </w:rPr>
            </w:pP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Objectives: students:</w:t>
            </w:r>
          </w:p>
          <w:p w:rsidR="00C31E85" w:rsidRPr="00C31E85" w:rsidRDefault="00C31E85" w:rsidP="00C31E85">
            <w:pPr>
              <w:numPr>
                <w:ilvl w:val="0"/>
                <w:numId w:val="1"/>
              </w:num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 xml:space="preserve">explanation of the basic concepts relating to the organization of the protection of personal data in EU and their significance in contemporary society and for the functioning of various institutions, e.g. for enterprises, public administration etc.; </w:t>
            </w:r>
          </w:p>
          <w:p w:rsidR="00C31E85" w:rsidRPr="00C31E85" w:rsidRDefault="00C31E85" w:rsidP="00C31E85">
            <w:pPr>
              <w:numPr>
                <w:ilvl w:val="0"/>
                <w:numId w:val="1"/>
              </w:num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 xml:space="preserve">transfer of knowledge about the personal data protection authorities with a particular emphasis on the role of the Polish Inspector General for Personal Data Protection, the European Data Protection Supervisor and proposed in General Data Protection Regulation the cooperation and consistency mechanism; </w:t>
            </w:r>
          </w:p>
          <w:p w:rsidR="00C31E85" w:rsidRPr="00C31E85" w:rsidRDefault="00C31E85" w:rsidP="00C31E85">
            <w:pPr>
              <w:numPr>
                <w:ilvl w:val="0"/>
                <w:numId w:val="1"/>
              </w:num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acquisition of skills in the understanding and application of the legal regulations, and the solutions provided for in these regulations, relating to the protection of privacy or the processing of personal data.</w:t>
            </w:r>
          </w:p>
          <w:p w:rsidR="00C31E85" w:rsidRPr="00C31E85" w:rsidRDefault="00C31E85" w:rsidP="00C31E85">
            <w:pPr>
              <w:jc w:val="left"/>
              <w:rPr>
                <w:rFonts w:ascii="Tahoma" w:eastAsia="Times New Roman" w:hAnsi="Tahoma" w:cs="Tahoma"/>
                <w:sz w:val="20"/>
                <w:szCs w:val="20"/>
                <w:lang w:val="en-GB" w:eastAsia="en-GB"/>
              </w:rPr>
            </w:pP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Content:</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w:t>
            </w:r>
            <w:r w:rsidRPr="00C31E85">
              <w:rPr>
                <w:rFonts w:ascii="Tahoma" w:eastAsia="Times New Roman" w:hAnsi="Tahoma" w:cs="Tahoma"/>
                <w:sz w:val="20"/>
                <w:szCs w:val="20"/>
                <w:lang w:val="en-GB" w:eastAsia="en-GB"/>
              </w:rPr>
              <w:tab/>
              <w:t>International, European and Polish legal regulations on the protection of personal data</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2.</w:t>
            </w:r>
            <w:r w:rsidRPr="00C31E85">
              <w:rPr>
                <w:rFonts w:ascii="Tahoma" w:eastAsia="Times New Roman" w:hAnsi="Tahoma" w:cs="Tahoma"/>
                <w:sz w:val="20"/>
                <w:szCs w:val="20"/>
                <w:lang w:val="en-GB" w:eastAsia="en-GB"/>
              </w:rPr>
              <w:tab/>
              <w:t>Terminology related to the protection of personal data</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3.</w:t>
            </w:r>
            <w:r w:rsidRPr="00C31E85">
              <w:rPr>
                <w:rFonts w:ascii="Tahoma" w:eastAsia="Times New Roman" w:hAnsi="Tahoma" w:cs="Tahoma"/>
                <w:sz w:val="20"/>
                <w:szCs w:val="20"/>
                <w:lang w:val="en-GB" w:eastAsia="en-GB"/>
              </w:rPr>
              <w:tab/>
              <w:t>General principles concerning the protection of personal data, i.a.: principles for the processing of personal data, protection and registration of personal data sets, rights of persons whose data are processed</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4.</w:t>
            </w:r>
            <w:r w:rsidRPr="00C31E85">
              <w:rPr>
                <w:rFonts w:ascii="Tahoma" w:eastAsia="Times New Roman" w:hAnsi="Tahoma" w:cs="Tahoma"/>
                <w:sz w:val="20"/>
                <w:szCs w:val="20"/>
                <w:lang w:val="en-GB" w:eastAsia="en-GB"/>
              </w:rPr>
              <w:tab/>
              <w:t>Organization of the protection of personal data in the European Union and in Poland</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5.</w:t>
            </w:r>
            <w:r w:rsidRPr="00C31E85">
              <w:rPr>
                <w:rFonts w:ascii="Tahoma" w:eastAsia="Times New Roman" w:hAnsi="Tahoma" w:cs="Tahoma"/>
                <w:sz w:val="20"/>
                <w:szCs w:val="20"/>
                <w:lang w:val="en-GB" w:eastAsia="en-GB"/>
              </w:rPr>
              <w:tab/>
              <w:t>European Data Protection Supervisor and the Assistant Supervisor</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6.        Article 29 Data Protection Working Party</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7.        National supervisory authorities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7.1.      Independence of National supervisory authorities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7.2.      Competences of National supervisory authorities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8.</w:t>
            </w:r>
            <w:r w:rsidRPr="00C31E85">
              <w:rPr>
                <w:rFonts w:ascii="Tahoma" w:eastAsia="Times New Roman" w:hAnsi="Tahoma" w:cs="Tahoma"/>
                <w:sz w:val="20"/>
                <w:szCs w:val="20"/>
                <w:lang w:val="en-GB" w:eastAsia="en-GB"/>
              </w:rPr>
              <w:tab/>
              <w:t>Inspector General for Personal Data Protection and the Deputy Inspector General for Personal Data Protection, Office of the Inspector General for Personal Data Protection, obligations and powers of the inspectors at the Inspector General for Personal Data Protection</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9.</w:t>
            </w:r>
            <w:r w:rsidRPr="00C31E85">
              <w:rPr>
                <w:rFonts w:ascii="Tahoma" w:eastAsia="Times New Roman" w:hAnsi="Tahoma" w:cs="Tahoma"/>
                <w:sz w:val="20"/>
                <w:szCs w:val="20"/>
                <w:lang w:val="en-GB" w:eastAsia="en-GB"/>
              </w:rPr>
              <w:tab/>
              <w:t>Entities responsible for the correct processing of personal data</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10.</w:t>
            </w:r>
            <w:r w:rsidRPr="00C31E85">
              <w:rPr>
                <w:rFonts w:ascii="Tahoma" w:eastAsia="Times New Roman" w:hAnsi="Tahoma" w:cs="Tahoma"/>
                <w:sz w:val="20"/>
                <w:szCs w:val="20"/>
                <w:lang w:val="en-GB" w:eastAsia="en-GB"/>
              </w:rPr>
              <w:tab/>
              <w:t>Cooperation of the bodies and institutions tasked with the protection of personal data</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11. Proposed in General Data Protection Regulation the cooperation and consistency mechanism</w:t>
            </w:r>
          </w:p>
          <w:p w:rsidR="00C31E85" w:rsidRPr="00C31E85" w:rsidRDefault="00C31E85" w:rsidP="00C31E85">
            <w:pPr>
              <w:jc w:val="left"/>
              <w:rPr>
                <w:rFonts w:ascii="Tahoma" w:eastAsia="Times New Roman" w:hAnsi="Tahoma" w:cs="Tahoma"/>
                <w:sz w:val="20"/>
                <w:szCs w:val="20"/>
                <w:lang w:val="en-GB" w:eastAsia="en-GB"/>
              </w:rPr>
            </w:pP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Required sources: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I.</w:t>
            </w:r>
            <w:r w:rsidRPr="00C31E85">
              <w:rPr>
                <w:rFonts w:ascii="Tahoma" w:eastAsia="Times New Roman" w:hAnsi="Tahoma" w:cs="Tahoma"/>
                <w:sz w:val="20"/>
                <w:szCs w:val="20"/>
                <w:lang w:val="en-GB" w:eastAsia="en-GB"/>
              </w:rPr>
              <w:tab/>
              <w:t>Literature:</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w:t>
            </w:r>
            <w:r w:rsidRPr="00C31E85">
              <w:rPr>
                <w:rFonts w:ascii="Tahoma" w:eastAsia="Times New Roman" w:hAnsi="Tahoma" w:cs="Tahoma"/>
                <w:sz w:val="20"/>
                <w:szCs w:val="20"/>
                <w:lang w:val="en-GB" w:eastAsia="en-GB"/>
              </w:rPr>
              <w:tab/>
              <w:t>S. Hoc, T. Szewc, Ochrona danych osobowych i informacji niejawnych [Protection of personal data and classified information], Warsaw, Wydawnictwo C. H. Beck, 2014</w:t>
            </w:r>
          </w:p>
          <w:p w:rsidR="00C31E85" w:rsidRPr="00C31E85" w:rsidRDefault="00C31E85" w:rsidP="00C31E85">
            <w:pPr>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t>2.</w:t>
            </w:r>
            <w:r w:rsidRPr="00C31E85">
              <w:rPr>
                <w:rFonts w:ascii="Tahoma" w:eastAsia="Times New Roman" w:hAnsi="Tahoma" w:cs="Tahoma"/>
                <w:sz w:val="20"/>
                <w:szCs w:val="20"/>
                <w:lang w:eastAsia="en-GB"/>
              </w:rPr>
              <w:tab/>
              <w:t>J. Barta, P. Fajgielski, R. Markiewicz, Ochrona danych osobowych : komentarz [Protection of personal data: a commentary], Warsaw, Wolters Kluwer Polska, 2011</w:t>
            </w:r>
          </w:p>
          <w:p w:rsidR="00C31E85" w:rsidRPr="00C31E85" w:rsidRDefault="00C31E85" w:rsidP="00C31E85">
            <w:pPr>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lastRenderedPageBreak/>
              <w:t>3.</w:t>
            </w:r>
            <w:r w:rsidRPr="00C31E85">
              <w:rPr>
                <w:rFonts w:ascii="Tahoma" w:eastAsia="Times New Roman" w:hAnsi="Tahoma" w:cs="Tahoma"/>
                <w:sz w:val="20"/>
                <w:szCs w:val="20"/>
                <w:lang w:eastAsia="en-GB"/>
              </w:rPr>
              <w:tab/>
              <w:t xml:space="preserve">G. Sibiga, X. Konarski, Ochrona danych osobowych : aktualne problemy i nowe wyzwania [Protection of personal data: current issues and new challenges], Oficyna a Wolters Kluwer business 2007 </w:t>
            </w:r>
          </w:p>
          <w:p w:rsidR="00C31E85" w:rsidRPr="00C31E85" w:rsidRDefault="00C31E85" w:rsidP="00C31E85">
            <w:pPr>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t>4.</w:t>
            </w:r>
            <w:r w:rsidRPr="00C31E85">
              <w:rPr>
                <w:rFonts w:ascii="Tahoma" w:eastAsia="Times New Roman" w:hAnsi="Tahoma" w:cs="Tahoma"/>
                <w:sz w:val="20"/>
                <w:szCs w:val="20"/>
                <w:lang w:eastAsia="en-GB"/>
              </w:rPr>
              <w:tab/>
              <w:t>Nowakowski B., Jędruszczak A., Gałach A., Ochrona danych osobowych, informacji, niejawnych i systemów teleinformatycznych w sektorze publicznym [Protection of personal data, classified information and ITC systems in the public sector], Warsaw 2013,</w:t>
            </w:r>
          </w:p>
          <w:p w:rsidR="00C31E85" w:rsidRPr="00C31E85" w:rsidRDefault="00C31E85" w:rsidP="00C31E85">
            <w:pPr>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t>5.</w:t>
            </w:r>
            <w:r w:rsidRPr="00C31E85">
              <w:rPr>
                <w:rFonts w:ascii="Tahoma" w:eastAsia="Times New Roman" w:hAnsi="Tahoma" w:cs="Tahoma"/>
                <w:sz w:val="20"/>
                <w:szCs w:val="20"/>
                <w:lang w:eastAsia="en-GB"/>
              </w:rPr>
              <w:tab/>
              <w:t>Jagielski M., Prawo do ochrony danych osobowych [The right to the protection of personal data], Warsaw 2010,</w:t>
            </w:r>
          </w:p>
          <w:p w:rsidR="00C31E85" w:rsidRPr="00C31E85" w:rsidRDefault="00C31E85" w:rsidP="00C31E85">
            <w:pPr>
              <w:jc w:val="left"/>
              <w:rPr>
                <w:rFonts w:ascii="Tahoma" w:eastAsia="Times New Roman" w:hAnsi="Tahoma" w:cs="Tahoma"/>
                <w:sz w:val="20"/>
                <w:szCs w:val="20"/>
                <w:lang w:eastAsia="en-GB"/>
              </w:rPr>
            </w:pPr>
            <w:r w:rsidRPr="00C31E85">
              <w:rPr>
                <w:rFonts w:ascii="Tahoma" w:eastAsia="Times New Roman" w:hAnsi="Tahoma" w:cs="Tahoma"/>
                <w:sz w:val="20"/>
                <w:szCs w:val="20"/>
                <w:lang w:eastAsia="en-GB"/>
              </w:rPr>
              <w:t>6.</w:t>
            </w:r>
            <w:r w:rsidRPr="00C31E85">
              <w:rPr>
                <w:rFonts w:ascii="Tahoma" w:eastAsia="Times New Roman" w:hAnsi="Tahoma" w:cs="Tahoma"/>
                <w:sz w:val="20"/>
                <w:szCs w:val="20"/>
                <w:lang w:eastAsia="en-GB"/>
              </w:rPr>
              <w:tab/>
              <w:t>Sibiga S., Postępowanie w sprawach ochrony danych osobowych [Proceedings in cases concerning the protection of personal data], Warsaw 2003</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eastAsia="en-GB"/>
              </w:rPr>
              <w:t>7.</w:t>
            </w:r>
            <w:r w:rsidRPr="00C31E85">
              <w:rPr>
                <w:rFonts w:ascii="Tahoma" w:eastAsia="Times New Roman" w:hAnsi="Tahoma" w:cs="Tahoma"/>
                <w:sz w:val="20"/>
                <w:szCs w:val="20"/>
                <w:lang w:eastAsia="en-GB"/>
              </w:rPr>
              <w:tab/>
              <w:t xml:space="preserve">Fajgielski P., Kontrola przetwarzania i ochrony danych osobowych. </w:t>
            </w:r>
            <w:r w:rsidRPr="00C31E85">
              <w:rPr>
                <w:rFonts w:ascii="Tahoma" w:eastAsia="Times New Roman" w:hAnsi="Tahoma" w:cs="Tahoma"/>
                <w:sz w:val="20"/>
                <w:szCs w:val="20"/>
                <w:lang w:val="en-GB" w:eastAsia="en-GB"/>
              </w:rPr>
              <w:t>Studium teoretyczno-prawne [Control of the processing and protection of personal data. Theoretical and legal study], Lublin 2008, Jędruszczak A., Nowakowski B., System kontroli GIODO i ochrona informacji niejawnych [The control system of the Inspector General for Personal Data Protection and the protection of classified information], Warsaw 2011,</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eastAsia="en-GB"/>
              </w:rPr>
              <w:t>8.</w:t>
            </w:r>
            <w:r w:rsidRPr="00C31E85">
              <w:rPr>
                <w:rFonts w:ascii="Tahoma" w:eastAsia="Times New Roman" w:hAnsi="Tahoma" w:cs="Tahoma"/>
                <w:sz w:val="20"/>
                <w:szCs w:val="20"/>
                <w:lang w:eastAsia="en-GB"/>
              </w:rPr>
              <w:tab/>
              <w:t xml:space="preserve">Mednis A. [ed.:] Prywatność a ekonomia. Ochrona danych osobowych w obrocie gospodarczym [Privacy and economics. </w:t>
            </w:r>
            <w:r w:rsidRPr="00C31E85">
              <w:rPr>
                <w:rFonts w:ascii="Tahoma" w:eastAsia="Times New Roman" w:hAnsi="Tahoma" w:cs="Tahoma"/>
                <w:sz w:val="20"/>
                <w:szCs w:val="20"/>
                <w:lang w:val="en-GB" w:eastAsia="en-GB"/>
              </w:rPr>
              <w:t xml:space="preserve">Protection of personal data in business transactions], Wyd. Stow. Absolwentów WPiA UW, Warsaw 2013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9.</w:t>
            </w:r>
            <w:r w:rsidRPr="00C31E85">
              <w:rPr>
                <w:rFonts w:ascii="Tahoma" w:eastAsia="Times New Roman" w:hAnsi="Tahoma" w:cs="Tahoma"/>
                <w:sz w:val="20"/>
                <w:szCs w:val="20"/>
                <w:lang w:val="en-GB" w:eastAsia="en-GB"/>
              </w:rPr>
              <w:tab/>
              <w:t xml:space="preserve">http://www.giodo.gov.pl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10.</w:t>
            </w:r>
            <w:r w:rsidRPr="00C31E85">
              <w:rPr>
                <w:rFonts w:ascii="Tahoma" w:eastAsia="Times New Roman" w:hAnsi="Tahoma" w:cs="Tahoma"/>
                <w:sz w:val="20"/>
                <w:szCs w:val="20"/>
                <w:lang w:val="en-GB" w:eastAsia="en-GB"/>
              </w:rPr>
              <w:tab/>
              <w:t xml:space="preserve">https://secure.edps.europa.eu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II.</w:t>
            </w:r>
            <w:r w:rsidRPr="00C31E85">
              <w:rPr>
                <w:rFonts w:ascii="Tahoma" w:eastAsia="Times New Roman" w:hAnsi="Tahoma" w:cs="Tahoma"/>
                <w:sz w:val="20"/>
                <w:szCs w:val="20"/>
                <w:lang w:val="en-GB" w:eastAsia="en-GB"/>
              </w:rPr>
              <w:tab/>
              <w:t xml:space="preserve">Selected legislation: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1.</w:t>
            </w:r>
            <w:r w:rsidRPr="00C31E85">
              <w:rPr>
                <w:rFonts w:ascii="Tahoma" w:eastAsia="Times New Roman" w:hAnsi="Tahoma" w:cs="Tahoma"/>
                <w:sz w:val="20"/>
                <w:szCs w:val="20"/>
                <w:lang w:val="en-GB" w:eastAsia="en-GB"/>
              </w:rPr>
              <w:tab/>
              <w:t>Act on the Protection of Personal Data of 29 August 1997</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2.</w:t>
            </w:r>
            <w:r w:rsidRPr="00C31E85">
              <w:rPr>
                <w:rFonts w:ascii="Tahoma" w:eastAsia="Times New Roman" w:hAnsi="Tahoma" w:cs="Tahoma"/>
                <w:sz w:val="20"/>
                <w:szCs w:val="20"/>
                <w:lang w:val="en-GB" w:eastAsia="en-GB"/>
              </w:rPr>
              <w:tab/>
              <w:t>Directive 95/46/EC of the European Parliament and of the Council of 24 October 1995 on the protection of individuals with regard to the processing of personal data and on the free movement of such data</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3.</w:t>
            </w:r>
            <w:r w:rsidRPr="00C31E85">
              <w:rPr>
                <w:rFonts w:ascii="Tahoma" w:eastAsia="Times New Roman" w:hAnsi="Tahoma" w:cs="Tahoma"/>
                <w:sz w:val="20"/>
                <w:szCs w:val="20"/>
                <w:lang w:val="en-GB" w:eastAsia="en-GB"/>
              </w:rPr>
              <w:tab/>
              <w:t>Directive 2002/58/EC of the European Parliament and of the Council of 12 July 2002 concerning the processing of personal data and the protection of privacy in the electronic communications sector (Directive on privacy and electronic communications),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4. General Data Protection Regulation draft.</w:t>
            </w:r>
          </w:p>
          <w:p w:rsidR="00C31E85" w:rsidRPr="00C31E85" w:rsidRDefault="00C31E85" w:rsidP="00C31E85">
            <w:pPr>
              <w:jc w:val="left"/>
              <w:rPr>
                <w:rFonts w:ascii="Tahoma" w:eastAsia="Times New Roman" w:hAnsi="Tahoma" w:cs="Tahoma"/>
                <w:sz w:val="20"/>
                <w:szCs w:val="20"/>
                <w:lang w:val="en-GB" w:eastAsia="en-GB"/>
              </w:rPr>
            </w:pP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The assessment of the course include:</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w:t>
            </w:r>
            <w:r w:rsidRPr="00C31E85">
              <w:rPr>
                <w:rFonts w:ascii="Tahoma" w:eastAsia="Times New Roman" w:hAnsi="Tahoma" w:cs="Tahoma"/>
                <w:sz w:val="20"/>
                <w:szCs w:val="20"/>
                <w:lang w:val="en-GB" w:eastAsia="en-GB"/>
              </w:rPr>
              <w:tab/>
              <w:t xml:space="preserve">Written (test) verification of knowledge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w:t>
            </w:r>
            <w:r w:rsidRPr="00C31E85">
              <w:rPr>
                <w:rFonts w:ascii="Tahoma" w:eastAsia="Times New Roman" w:hAnsi="Tahoma" w:cs="Tahoma"/>
                <w:sz w:val="20"/>
                <w:szCs w:val="20"/>
                <w:lang w:val="en-GB" w:eastAsia="en-GB"/>
              </w:rPr>
              <w:tab/>
              <w:t>Active participation in class discussions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w:t>
            </w:r>
            <w:r w:rsidRPr="00C31E85">
              <w:rPr>
                <w:rFonts w:ascii="Tahoma" w:eastAsia="Times New Roman" w:hAnsi="Tahoma" w:cs="Tahoma"/>
                <w:sz w:val="20"/>
                <w:szCs w:val="20"/>
                <w:lang w:val="en-GB" w:eastAsia="en-GB"/>
              </w:rPr>
              <w:tab/>
              <w:t>Text analysis</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lastRenderedPageBreak/>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Expanding knowledge about European integrated administration in the field of personal data protection.</w:t>
            </w:r>
          </w:p>
        </w:tc>
      </w:tr>
      <w:tr w:rsidR="00C31E85" w:rsidRPr="00C31E85" w:rsidTr="00317182">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p>
        </w:tc>
        <w:tc>
          <w:tcPr>
            <w:tcW w:w="1744"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1</w:t>
            </w:r>
            <w:r w:rsidRPr="00C31E85">
              <w:rPr>
                <w:rFonts w:ascii="Tahoma" w:eastAsia="Times New Roman" w:hAnsi="Tahoma" w:cs="Tahoma"/>
                <w:b/>
                <w:sz w:val="20"/>
                <w:szCs w:val="20"/>
                <w:vertAlign w:val="superscript"/>
                <w:lang w:val="en-GB" w:eastAsia="en-GB"/>
              </w:rPr>
              <w:t>st</w:t>
            </w:r>
            <w:r w:rsidRPr="00C31E85">
              <w:rPr>
                <w:rFonts w:ascii="Tahoma" w:eastAsia="Times New Roman" w:hAnsi="Tahoma" w:cs="Tahoma"/>
                <w:b/>
                <w:sz w:val="20"/>
                <w:szCs w:val="20"/>
                <w:lang w:val="en-GB" w:eastAsia="en-GB"/>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2</w:t>
            </w:r>
            <w:r w:rsidRPr="00C31E85">
              <w:rPr>
                <w:rFonts w:ascii="Tahoma" w:eastAsia="Times New Roman" w:hAnsi="Tahoma" w:cs="Tahoma"/>
                <w:b/>
                <w:sz w:val="20"/>
                <w:szCs w:val="20"/>
                <w:vertAlign w:val="superscript"/>
                <w:lang w:val="en-GB" w:eastAsia="en-GB"/>
              </w:rPr>
              <w:t>nd</w:t>
            </w:r>
            <w:r w:rsidRPr="00C31E85">
              <w:rPr>
                <w:rFonts w:ascii="Tahoma" w:eastAsia="Times New Roman" w:hAnsi="Tahoma" w:cs="Tahoma"/>
                <w:b/>
                <w:sz w:val="20"/>
                <w:szCs w:val="20"/>
                <w:lang w:val="en-GB" w:eastAsia="en-GB"/>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3</w:t>
            </w:r>
            <w:r w:rsidRPr="00C31E85">
              <w:rPr>
                <w:rFonts w:ascii="Tahoma" w:eastAsia="Times New Roman" w:hAnsi="Tahoma" w:cs="Tahoma"/>
                <w:b/>
                <w:sz w:val="20"/>
                <w:szCs w:val="20"/>
                <w:vertAlign w:val="superscript"/>
                <w:lang w:val="en-GB" w:eastAsia="en-GB"/>
              </w:rPr>
              <w:t>rd</w:t>
            </w:r>
            <w:r w:rsidRPr="00C31E85">
              <w:rPr>
                <w:rFonts w:ascii="Tahoma" w:eastAsia="Times New Roman" w:hAnsi="Tahoma" w:cs="Tahoma"/>
                <w:b/>
                <w:sz w:val="20"/>
                <w:szCs w:val="20"/>
                <w:lang w:val="en-GB" w:eastAsia="en-GB"/>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Total over 3 years:</w:t>
            </w:r>
          </w:p>
        </w:tc>
      </w:tr>
      <w:tr w:rsidR="00C31E85" w:rsidRPr="00C31E85" w:rsidTr="00317182">
        <w:trPr>
          <w:trHeight w:val="232"/>
        </w:trPr>
        <w:tc>
          <w:tcPr>
            <w:tcW w:w="1808" w:type="dxa"/>
            <w:tcBorders>
              <w:left w:val="out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N° of hours</w:t>
            </w:r>
          </w:p>
        </w:tc>
        <w:tc>
          <w:tcPr>
            <w:tcW w:w="1744"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30</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30</w:t>
            </w:r>
          </w:p>
        </w:tc>
        <w:tc>
          <w:tcPr>
            <w:tcW w:w="1701"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30</w:t>
            </w:r>
          </w:p>
        </w:tc>
        <w:tc>
          <w:tcPr>
            <w:tcW w:w="2693" w:type="dxa"/>
            <w:tcBorders>
              <w:top w:val="single" w:sz="6" w:space="0" w:color="000000"/>
              <w:left w:val="single"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90</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20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20</w:t>
            </w: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20</w:t>
            </w: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60</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 xml:space="preserve">Discipline of </w:t>
            </w:r>
          </w:p>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audience</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ind w:left="180"/>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Public Administration, Internal Security, International Relations, Political Science, Social Economics, Law</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Year/type of study</w:t>
            </w:r>
          </w:p>
          <w:p w:rsidR="00C31E85" w:rsidRPr="00C31E85" w:rsidRDefault="00C31E85" w:rsidP="00C31E85">
            <w:pPr>
              <w:jc w:val="left"/>
              <w:rPr>
                <w:rFonts w:ascii="Tahoma" w:eastAsia="Times New Roman" w:hAnsi="Tahoma" w:cs="Tahoma"/>
                <w:b/>
                <w:sz w:val="20"/>
                <w:szCs w:val="20"/>
                <w:lang w:val="en-GB" w:eastAsia="en-GB"/>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1</w:t>
            </w:r>
            <w:r w:rsidRPr="00C31E85">
              <w:rPr>
                <w:rFonts w:ascii="Tahoma" w:eastAsia="Times New Roman" w:hAnsi="Tahoma" w:cs="Tahoma"/>
                <w:sz w:val="20"/>
                <w:szCs w:val="20"/>
                <w:vertAlign w:val="superscript"/>
                <w:lang w:val="en-GB" w:eastAsia="en-GB"/>
              </w:rPr>
              <w:t>st</w:t>
            </w:r>
            <w:r w:rsidRPr="00C31E85">
              <w:rPr>
                <w:rFonts w:ascii="Tahoma" w:eastAsia="Times New Roman" w:hAnsi="Tahoma" w:cs="Tahoma"/>
                <w:sz w:val="20"/>
                <w:szCs w:val="20"/>
                <w:lang w:val="en-GB" w:eastAsia="en-GB"/>
              </w:rPr>
              <w:t xml:space="preserve"> cycle (Bachelor)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2</w:t>
            </w:r>
            <w:r w:rsidRPr="00C31E85">
              <w:rPr>
                <w:rFonts w:ascii="Tahoma" w:eastAsia="Times New Roman" w:hAnsi="Tahoma" w:cs="Tahoma"/>
                <w:sz w:val="20"/>
                <w:szCs w:val="20"/>
                <w:vertAlign w:val="superscript"/>
                <w:lang w:val="en-GB" w:eastAsia="en-GB"/>
              </w:rPr>
              <w:t>nd</w:t>
            </w:r>
            <w:r w:rsidRPr="00C31E85">
              <w:rPr>
                <w:rFonts w:ascii="Tahoma" w:eastAsia="Times New Roman" w:hAnsi="Tahoma" w:cs="Tahoma"/>
                <w:sz w:val="20"/>
                <w:szCs w:val="20"/>
                <w:lang w:val="en-GB" w:eastAsia="en-GB"/>
              </w:rPr>
              <w:t xml:space="preserve"> cycle (Masters)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3</w:t>
            </w:r>
            <w:r w:rsidRPr="00C31E85">
              <w:rPr>
                <w:rFonts w:ascii="Tahoma" w:eastAsia="Times New Roman" w:hAnsi="Tahoma" w:cs="Tahoma"/>
                <w:sz w:val="20"/>
                <w:szCs w:val="20"/>
                <w:vertAlign w:val="superscript"/>
                <w:lang w:val="en-GB" w:eastAsia="en-GB"/>
              </w:rPr>
              <w:t>rd</w:t>
            </w:r>
            <w:r w:rsidRPr="00C31E85">
              <w:rPr>
                <w:rFonts w:ascii="Tahoma" w:eastAsia="Times New Roman" w:hAnsi="Tahoma" w:cs="Tahoma"/>
                <w:sz w:val="20"/>
                <w:szCs w:val="20"/>
                <w:lang w:val="en-GB" w:eastAsia="en-GB"/>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Doctoral studies</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Summer school</w:t>
            </w:r>
          </w:p>
          <w:p w:rsidR="00C31E85" w:rsidRPr="00C31E85" w:rsidRDefault="00C31E85" w:rsidP="00C31E85">
            <w:pPr>
              <w:jc w:val="left"/>
              <w:rPr>
                <w:rFonts w:ascii="Tahoma" w:eastAsia="Times New Roman" w:hAnsi="Tahoma" w:cs="Tahoma"/>
                <w:sz w:val="20"/>
                <w:szCs w:val="20"/>
                <w:lang w:val="en-GB" w:eastAsia="en-GB"/>
              </w:rPr>
            </w:pPr>
          </w:p>
        </w:tc>
      </w:tr>
      <w:tr w:rsidR="00C31E85" w:rsidRPr="00C31E85" w:rsidTr="0031718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Nature</w:t>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Compulsory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 xml:space="preserve">x New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Existing</w:t>
            </w:r>
          </w:p>
        </w:tc>
      </w:tr>
      <w:tr w:rsidR="00C31E85" w:rsidRPr="00C31E85" w:rsidTr="0031718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31E85" w:rsidRPr="00C31E85" w:rsidRDefault="00C31E85" w:rsidP="00C31E85">
            <w:pPr>
              <w:jc w:val="left"/>
              <w:rPr>
                <w:rFonts w:ascii="Tahoma" w:eastAsia="Times New Roman" w:hAnsi="Tahoma" w:cs="Tahoma"/>
                <w:b/>
                <w:sz w:val="20"/>
                <w:szCs w:val="20"/>
                <w:lang w:val="en-GB" w:eastAsia="en-GB"/>
              </w:rPr>
            </w:pPr>
            <w:r w:rsidRPr="00C31E85">
              <w:rPr>
                <w:rFonts w:ascii="Tahoma" w:eastAsia="Times New Roman" w:hAnsi="Tahoma" w:cs="Tahoma"/>
                <w:b/>
                <w:sz w:val="20"/>
                <w:szCs w:val="20"/>
                <w:lang w:val="en-GB" w:eastAsia="en-GB"/>
              </w:rPr>
              <w:t>Timing</w:t>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1</w:t>
            </w:r>
            <w:r w:rsidRPr="00C31E85">
              <w:rPr>
                <w:rFonts w:ascii="Tahoma" w:eastAsia="Times New Roman" w:hAnsi="Tahoma" w:cs="Tahoma"/>
                <w:sz w:val="20"/>
                <w:szCs w:val="20"/>
                <w:vertAlign w:val="superscript"/>
                <w:lang w:val="en-GB" w:eastAsia="en-GB"/>
              </w:rPr>
              <w:t>st</w:t>
            </w:r>
            <w:r w:rsidRPr="00C31E85">
              <w:rPr>
                <w:rFonts w:ascii="Tahoma" w:eastAsia="Times New Roman" w:hAnsi="Tahoma" w:cs="Tahoma"/>
                <w:sz w:val="20"/>
                <w:szCs w:val="20"/>
                <w:lang w:val="en-GB" w:eastAsia="en-GB"/>
              </w:rPr>
              <w:t xml:space="preserve"> year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2</w:t>
            </w:r>
            <w:r w:rsidRPr="00C31E85">
              <w:rPr>
                <w:rFonts w:ascii="Tahoma" w:eastAsia="Times New Roman" w:hAnsi="Tahoma" w:cs="Tahoma"/>
                <w:sz w:val="20"/>
                <w:szCs w:val="20"/>
                <w:vertAlign w:val="superscript"/>
                <w:lang w:val="en-GB" w:eastAsia="en-GB"/>
              </w:rPr>
              <w:t>nd</w:t>
            </w:r>
            <w:r w:rsidRPr="00C31E85">
              <w:rPr>
                <w:rFonts w:ascii="Tahoma" w:eastAsia="Times New Roman" w:hAnsi="Tahoma" w:cs="Tahoma"/>
                <w:sz w:val="20"/>
                <w:szCs w:val="20"/>
                <w:lang w:val="en-GB" w:eastAsia="en-GB"/>
              </w:rPr>
              <w:t xml:space="preserve"> year</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3</w:t>
            </w:r>
            <w:r w:rsidRPr="00C31E85">
              <w:rPr>
                <w:rFonts w:ascii="Tahoma" w:eastAsia="Times New Roman" w:hAnsi="Tahoma" w:cs="Tahoma"/>
                <w:sz w:val="20"/>
                <w:szCs w:val="20"/>
                <w:vertAlign w:val="superscript"/>
                <w:lang w:val="en-GB" w:eastAsia="en-GB"/>
              </w:rPr>
              <w:t>rd</w:t>
            </w:r>
            <w:r w:rsidRPr="00C31E85">
              <w:rPr>
                <w:rFonts w:ascii="Tahoma" w:eastAsia="Times New Roman" w:hAnsi="Tahoma" w:cs="Tahoma"/>
                <w:sz w:val="20"/>
                <w:szCs w:val="20"/>
                <w:lang w:val="en-GB" w:eastAsia="en-GB"/>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sym w:font="Wingdings" w:char="F06F"/>
            </w:r>
            <w:r w:rsidRPr="00C31E85">
              <w:rPr>
                <w:rFonts w:ascii="Tahoma" w:eastAsia="Times New Roman" w:hAnsi="Tahoma" w:cs="Tahoma"/>
                <w:sz w:val="20"/>
                <w:szCs w:val="20"/>
                <w:lang w:val="en-GB" w:eastAsia="en-GB"/>
              </w:rPr>
              <w:t xml:space="preserve"> 1</w:t>
            </w:r>
            <w:r w:rsidRPr="00C31E85">
              <w:rPr>
                <w:rFonts w:ascii="Tahoma" w:eastAsia="Times New Roman" w:hAnsi="Tahoma" w:cs="Tahoma"/>
                <w:sz w:val="20"/>
                <w:szCs w:val="20"/>
                <w:vertAlign w:val="superscript"/>
                <w:lang w:val="en-GB" w:eastAsia="en-GB"/>
              </w:rPr>
              <w:t>st</w:t>
            </w:r>
            <w:r w:rsidRPr="00C31E85">
              <w:rPr>
                <w:rFonts w:ascii="Tahoma" w:eastAsia="Times New Roman" w:hAnsi="Tahoma" w:cs="Tahoma"/>
                <w:sz w:val="20"/>
                <w:szCs w:val="20"/>
                <w:lang w:val="en-GB" w:eastAsia="en-GB"/>
              </w:rPr>
              <w:t xml:space="preserve"> semester  </w:t>
            </w:r>
          </w:p>
          <w:p w:rsidR="00C31E85" w:rsidRPr="00C31E85" w:rsidRDefault="00C31E85" w:rsidP="00C31E85">
            <w:pPr>
              <w:jc w:val="left"/>
              <w:rPr>
                <w:rFonts w:ascii="Tahoma" w:eastAsia="Times New Roman" w:hAnsi="Tahoma" w:cs="Tahoma"/>
                <w:sz w:val="20"/>
                <w:szCs w:val="20"/>
                <w:lang w:val="en-GB" w:eastAsia="en-GB"/>
              </w:rPr>
            </w:pPr>
            <w:r w:rsidRPr="00C31E85">
              <w:rPr>
                <w:rFonts w:ascii="Tahoma" w:eastAsia="Times New Roman" w:hAnsi="Tahoma" w:cs="Tahoma"/>
                <w:sz w:val="20"/>
                <w:szCs w:val="20"/>
                <w:lang w:val="en-GB" w:eastAsia="en-GB"/>
              </w:rPr>
              <w:t>x 2</w:t>
            </w:r>
            <w:r w:rsidRPr="00C31E85">
              <w:rPr>
                <w:rFonts w:ascii="Tahoma" w:eastAsia="Times New Roman" w:hAnsi="Tahoma" w:cs="Tahoma"/>
                <w:sz w:val="20"/>
                <w:szCs w:val="20"/>
                <w:vertAlign w:val="superscript"/>
                <w:lang w:val="en-GB" w:eastAsia="en-GB"/>
              </w:rPr>
              <w:t>nd</w:t>
            </w:r>
            <w:r w:rsidRPr="00C31E85">
              <w:rPr>
                <w:rFonts w:ascii="Tahoma" w:eastAsia="Times New Roman" w:hAnsi="Tahoma" w:cs="Tahoma"/>
                <w:sz w:val="20"/>
                <w:szCs w:val="20"/>
                <w:lang w:val="en-GB" w:eastAsia="en-GB"/>
              </w:rPr>
              <w:t xml:space="preserve"> semester</w:t>
            </w:r>
          </w:p>
          <w:p w:rsidR="00C31E85" w:rsidRPr="00C31E85" w:rsidRDefault="00C31E85" w:rsidP="00C31E85">
            <w:pPr>
              <w:jc w:val="left"/>
              <w:rPr>
                <w:rFonts w:ascii="Tahoma" w:eastAsia="Times New Roman" w:hAnsi="Tahoma" w:cs="Tahoma"/>
                <w:sz w:val="20"/>
                <w:szCs w:val="20"/>
                <w:lang w:val="en-GB" w:eastAsia="en-GB"/>
              </w:rPr>
            </w:pPr>
          </w:p>
        </w:tc>
      </w:tr>
    </w:tbl>
    <w:p w:rsidR="00F4321C" w:rsidRDefault="00F4321C"/>
    <w:sectPr w:rsidR="00F432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6D" w:rsidRDefault="009B3E6D" w:rsidP="00C31E85">
      <w:r>
        <w:separator/>
      </w:r>
    </w:p>
  </w:endnote>
  <w:endnote w:type="continuationSeparator" w:id="0">
    <w:p w:rsidR="009B3E6D" w:rsidRDefault="009B3E6D" w:rsidP="00C3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6D" w:rsidRDefault="009B3E6D" w:rsidP="00C31E85">
      <w:r>
        <w:separator/>
      </w:r>
    </w:p>
  </w:footnote>
  <w:footnote w:type="continuationSeparator" w:id="0">
    <w:p w:rsidR="009B3E6D" w:rsidRDefault="009B3E6D" w:rsidP="00C3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910"/>
    <w:multiLevelType w:val="multilevel"/>
    <w:tmpl w:val="C9E29FF2"/>
    <w:lvl w:ilvl="0">
      <w:start w:val="1"/>
      <w:numFmt w:val="decimal"/>
      <w:lvlText w:val="%1."/>
      <w:lvlJc w:val="left"/>
      <w:pPr>
        <w:ind w:left="1395" w:hanging="360"/>
      </w:pPr>
    </w:lvl>
    <w:lvl w:ilvl="1">
      <w:start w:val="1"/>
      <w:numFmt w:val="decimal"/>
      <w:isLgl/>
      <w:lvlText w:val="%1.%2."/>
      <w:lvlJc w:val="left"/>
      <w:pPr>
        <w:ind w:left="1755" w:hanging="360"/>
      </w:pPr>
    </w:lvl>
    <w:lvl w:ilvl="2">
      <w:start w:val="1"/>
      <w:numFmt w:val="decimal"/>
      <w:isLgl/>
      <w:lvlText w:val="%1.%2.%3."/>
      <w:lvlJc w:val="left"/>
      <w:pPr>
        <w:ind w:left="2475" w:hanging="720"/>
      </w:pPr>
    </w:lvl>
    <w:lvl w:ilvl="3">
      <w:start w:val="1"/>
      <w:numFmt w:val="decimal"/>
      <w:isLgl/>
      <w:lvlText w:val="%1.%2.%3.%4."/>
      <w:lvlJc w:val="left"/>
      <w:pPr>
        <w:ind w:left="2835" w:hanging="720"/>
      </w:pPr>
    </w:lvl>
    <w:lvl w:ilvl="4">
      <w:start w:val="1"/>
      <w:numFmt w:val="decimal"/>
      <w:isLgl/>
      <w:lvlText w:val="%1.%2.%3.%4.%5."/>
      <w:lvlJc w:val="left"/>
      <w:pPr>
        <w:ind w:left="3555" w:hanging="1080"/>
      </w:pPr>
    </w:lvl>
    <w:lvl w:ilvl="5">
      <w:start w:val="1"/>
      <w:numFmt w:val="decimal"/>
      <w:isLgl/>
      <w:lvlText w:val="%1.%2.%3.%4.%5.%6."/>
      <w:lvlJc w:val="left"/>
      <w:pPr>
        <w:ind w:left="3915" w:hanging="1080"/>
      </w:pPr>
    </w:lvl>
    <w:lvl w:ilvl="6">
      <w:start w:val="1"/>
      <w:numFmt w:val="decimal"/>
      <w:isLgl/>
      <w:lvlText w:val="%1.%2.%3.%4.%5.%6.%7."/>
      <w:lvlJc w:val="left"/>
      <w:pPr>
        <w:ind w:left="4635" w:hanging="1440"/>
      </w:pPr>
    </w:lvl>
    <w:lvl w:ilvl="7">
      <w:start w:val="1"/>
      <w:numFmt w:val="decimal"/>
      <w:isLgl/>
      <w:lvlText w:val="%1.%2.%3.%4.%5.%6.%7.%8."/>
      <w:lvlJc w:val="left"/>
      <w:pPr>
        <w:ind w:left="4995" w:hanging="1440"/>
      </w:pPr>
    </w:lvl>
    <w:lvl w:ilvl="8">
      <w:start w:val="1"/>
      <w:numFmt w:val="decimal"/>
      <w:isLgl/>
      <w:lvlText w:val="%1.%2.%3.%4.%5.%6.%7.%8.%9."/>
      <w:lvlJc w:val="left"/>
      <w:pPr>
        <w:ind w:left="5715" w:hanging="1800"/>
      </w:pPr>
    </w:lvl>
  </w:abstractNum>
  <w:abstractNum w:abstractNumId="1">
    <w:nsid w:val="3B0E4D17"/>
    <w:multiLevelType w:val="hybridMultilevel"/>
    <w:tmpl w:val="46325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925D58"/>
    <w:multiLevelType w:val="hybridMultilevel"/>
    <w:tmpl w:val="EDCC5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876F62"/>
    <w:multiLevelType w:val="hybridMultilevel"/>
    <w:tmpl w:val="4D9C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F465DC"/>
    <w:multiLevelType w:val="hybridMultilevel"/>
    <w:tmpl w:val="93523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8AE6DE4"/>
    <w:multiLevelType w:val="hybridMultilevel"/>
    <w:tmpl w:val="3C3C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C7E524C"/>
    <w:multiLevelType w:val="hybridMultilevel"/>
    <w:tmpl w:val="5106B912"/>
    <w:lvl w:ilvl="0" w:tplc="79CC0634">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85"/>
    <w:rsid w:val="009B3E6D"/>
    <w:rsid w:val="00C31E85"/>
    <w:rsid w:val="00DB6AE0"/>
    <w:rsid w:val="00EF3B67"/>
    <w:rsid w:val="00F4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1E85"/>
    <w:rPr>
      <w:sz w:val="20"/>
      <w:szCs w:val="20"/>
    </w:rPr>
  </w:style>
  <w:style w:type="character" w:customStyle="1" w:styleId="TekstprzypisudolnegoZnak">
    <w:name w:val="Tekst przypisu dolnego Znak"/>
    <w:basedOn w:val="Domylnaczcionkaakapitu"/>
    <w:link w:val="Tekstprzypisudolnego"/>
    <w:uiPriority w:val="99"/>
    <w:semiHidden/>
    <w:rsid w:val="00C31E85"/>
    <w:rPr>
      <w:sz w:val="20"/>
      <w:szCs w:val="20"/>
    </w:rPr>
  </w:style>
  <w:style w:type="character" w:styleId="Odwoanieprzypisudolnego">
    <w:name w:val="footnote reference"/>
    <w:basedOn w:val="Domylnaczcionkaakapitu"/>
    <w:semiHidden/>
    <w:rsid w:val="00C31E85"/>
    <w:rPr>
      <w:rFonts w:cs="Times New Roman"/>
      <w:position w:val="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1E85"/>
    <w:rPr>
      <w:sz w:val="20"/>
      <w:szCs w:val="20"/>
    </w:rPr>
  </w:style>
  <w:style w:type="character" w:customStyle="1" w:styleId="TekstprzypisudolnegoZnak">
    <w:name w:val="Tekst przypisu dolnego Znak"/>
    <w:basedOn w:val="Domylnaczcionkaakapitu"/>
    <w:link w:val="Tekstprzypisudolnego"/>
    <w:uiPriority w:val="99"/>
    <w:semiHidden/>
    <w:rsid w:val="00C31E85"/>
    <w:rPr>
      <w:sz w:val="20"/>
      <w:szCs w:val="20"/>
    </w:rPr>
  </w:style>
  <w:style w:type="character" w:styleId="Odwoanieprzypisudolnego">
    <w:name w:val="footnote reference"/>
    <w:basedOn w:val="Domylnaczcionkaakapitu"/>
    <w:semiHidden/>
    <w:rsid w:val="00C31E85"/>
    <w:rPr>
      <w:rFonts w:cs="Times New Roman"/>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4783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2</cp:revision>
  <dcterms:created xsi:type="dcterms:W3CDTF">2017-09-15T06:48:00Z</dcterms:created>
  <dcterms:modified xsi:type="dcterms:W3CDTF">2017-09-15T06:59:00Z</dcterms:modified>
</cp:coreProperties>
</file>