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E8" w:rsidRPr="00C941E8" w:rsidRDefault="00C941E8" w:rsidP="00C941E8">
      <w:pPr>
        <w:jc w:val="left"/>
        <w:rPr>
          <w:rFonts w:ascii="Tahoma" w:eastAsia="Times New Roman" w:hAnsi="Tahoma" w:cs="Tahoma"/>
          <w:sz w:val="20"/>
          <w:szCs w:val="20"/>
          <w:lang w:val="en-GB" w:eastAsia="en-GB"/>
        </w:rPr>
      </w:pPr>
    </w:p>
    <w:tbl>
      <w:tblPr>
        <w:tblW w:w="96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744"/>
        <w:gridCol w:w="1496"/>
        <w:gridCol w:w="90"/>
        <w:gridCol w:w="115"/>
        <w:gridCol w:w="1701"/>
        <w:gridCol w:w="2693"/>
      </w:tblGrid>
      <w:tr w:rsidR="00380D29" w:rsidRPr="00C941E8" w:rsidTr="0045268B">
        <w:tc>
          <w:tcPr>
            <w:tcW w:w="9647" w:type="dxa"/>
            <w:gridSpan w:val="7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380D29" w:rsidRPr="00C941E8" w:rsidRDefault="00380D29" w:rsidP="00380D29">
            <w:pPr>
              <w:ind w:left="180"/>
              <w:rPr>
                <w:rFonts w:ascii="Tahoma" w:eastAsia="Times New Roman" w:hAnsi="Tahoma" w:cs="Tahoma"/>
                <w:sz w:val="32"/>
                <w:szCs w:val="32"/>
                <w:lang w:val="en-GB" w:eastAsia="en-GB"/>
              </w:rPr>
            </w:pPr>
            <w:r w:rsidRPr="00380D29">
              <w:rPr>
                <w:rFonts w:ascii="Tahoma" w:eastAsia="Times New Roman" w:hAnsi="Tahoma" w:cs="Tahoma"/>
                <w:sz w:val="32"/>
                <w:szCs w:val="32"/>
                <w:lang w:val="en-GB" w:eastAsia="en-GB"/>
              </w:rPr>
              <w:t>Syllabus</w:t>
            </w:r>
          </w:p>
        </w:tc>
      </w:tr>
      <w:tr w:rsidR="00C941E8" w:rsidRPr="00C941E8" w:rsidTr="00317182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Title</w:t>
            </w:r>
          </w:p>
        </w:tc>
        <w:tc>
          <w:tcPr>
            <w:tcW w:w="7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European Competition Network </w:t>
            </w:r>
          </w:p>
        </w:tc>
      </w:tr>
      <w:tr w:rsidR="00C941E8" w:rsidRPr="00C941E8" w:rsidTr="00317182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380D29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proofErr w:type="spellStart"/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Prof.</w:t>
            </w:r>
            <w:proofErr w:type="spellEnd"/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in charge</w:t>
            </w:r>
          </w:p>
        </w:tc>
        <w:tc>
          <w:tcPr>
            <w:tcW w:w="7839" w:type="dxa"/>
            <w:gridSpan w:val="6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ind w:left="180"/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dr</w:t>
            </w:r>
            <w:proofErr w:type="spellEnd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Inga </w:t>
            </w:r>
            <w:proofErr w:type="spellStart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Kawka</w:t>
            </w:r>
            <w:proofErr w:type="spellEnd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941E8" w:rsidRPr="00C941E8" w:rsidTr="00317182">
        <w:trPr>
          <w:trHeight w:val="725"/>
        </w:trPr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Typology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Lecture  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Seminar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Summer course</w:t>
            </w:r>
          </w:p>
        </w:tc>
        <w:tc>
          <w:tcPr>
            <w:tcW w:w="4509" w:type="dxa"/>
            <w:gridSpan w:val="3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Training course 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x Intensive course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Distance learning course</w:t>
            </w:r>
          </w:p>
        </w:tc>
      </w:tr>
      <w:tr w:rsidR="00C941E8" w:rsidRPr="00C941E8" w:rsidTr="00317182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Description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7839" w:type="dxa"/>
            <w:gridSpan w:val="6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Draft syllabus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Aim: 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enhance/foster/develop enable students competence towards analysing the enforcement of the EU competition law by the European Commission and national competition authorities. 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Objectives: students:</w:t>
            </w:r>
          </w:p>
          <w:p w:rsidR="00C941E8" w:rsidRPr="00C941E8" w:rsidRDefault="00C941E8" w:rsidP="00C941E8">
            <w:pPr>
              <w:numPr>
                <w:ilvl w:val="0"/>
                <w:numId w:val="1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develop knowledge and understanding about the EU competition law enforcement,</w:t>
            </w:r>
          </w:p>
          <w:p w:rsidR="00C941E8" w:rsidRPr="00C941E8" w:rsidRDefault="00C941E8" w:rsidP="00C941E8">
            <w:pPr>
              <w:numPr>
                <w:ilvl w:val="0"/>
                <w:numId w:val="1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develop knowledge and understanding of the impact of EU competition law on national substantive and procedural law,</w:t>
            </w:r>
          </w:p>
          <w:p w:rsidR="00C941E8" w:rsidRPr="00C941E8" w:rsidRDefault="00C941E8" w:rsidP="00C941E8">
            <w:pPr>
              <w:numPr>
                <w:ilvl w:val="0"/>
                <w:numId w:val="1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develop skills to undertake thorough analysis of a selected decisions in presented cases,</w:t>
            </w:r>
          </w:p>
          <w:p w:rsidR="00C941E8" w:rsidRPr="00C941E8" w:rsidRDefault="00C941E8" w:rsidP="00C941E8">
            <w:pPr>
              <w:numPr>
                <w:ilvl w:val="0"/>
                <w:numId w:val="1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develop skills to communicate understanding of the functioning of national administration in the European Competition Network,</w:t>
            </w:r>
          </w:p>
          <w:p w:rsidR="00C941E8" w:rsidRPr="00C941E8" w:rsidRDefault="00C941E8" w:rsidP="00C941E8">
            <w:pPr>
              <w:numPr>
                <w:ilvl w:val="0"/>
                <w:numId w:val="1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value and appreciate the opportunity to contribute and share one’s own perspective on the EU angle in the domain of competition problems.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Content:</w:t>
            </w:r>
          </w:p>
          <w:p w:rsidR="00C941E8" w:rsidRPr="00C941E8" w:rsidRDefault="00C941E8" w:rsidP="00C941E8">
            <w:pPr>
              <w:numPr>
                <w:ilvl w:val="0"/>
                <w:numId w:val="5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Approximation of the national legal systems of competition law towards the European model </w:t>
            </w:r>
          </w:p>
          <w:p w:rsidR="00C941E8" w:rsidRPr="00C941E8" w:rsidRDefault="00C941E8" w:rsidP="00C941E8">
            <w:pPr>
              <w:numPr>
                <w:ilvl w:val="0"/>
                <w:numId w:val="5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Application of EU competition law by national courts and administrative authorities</w:t>
            </w:r>
          </w:p>
          <w:p w:rsidR="00C941E8" w:rsidRPr="00C941E8" w:rsidRDefault="00C941E8" w:rsidP="00C941E8">
            <w:pPr>
              <w:numPr>
                <w:ilvl w:val="0"/>
                <w:numId w:val="5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Cooperation between national administrative authorities/courts and European Commission as a complement of the </w:t>
            </w:r>
            <w:proofErr w:type="spellStart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europeanisation</w:t>
            </w:r>
            <w:proofErr w:type="spellEnd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of national substantive laws</w:t>
            </w:r>
          </w:p>
          <w:p w:rsidR="00C941E8" w:rsidRPr="00C941E8" w:rsidRDefault="00C941E8" w:rsidP="00C941E8">
            <w:pPr>
              <w:numPr>
                <w:ilvl w:val="0"/>
                <w:numId w:val="5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Functioning of the European Competition Network (ECN) as an example of the European Administrative Space and administrative convergence</w:t>
            </w:r>
          </w:p>
          <w:p w:rsidR="00C941E8" w:rsidRPr="00C941E8" w:rsidRDefault="00C941E8" w:rsidP="00C941E8">
            <w:pPr>
              <w:numPr>
                <w:ilvl w:val="0"/>
                <w:numId w:val="5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Legal bases of the ECN</w:t>
            </w:r>
          </w:p>
          <w:p w:rsidR="00C941E8" w:rsidRPr="00C941E8" w:rsidRDefault="00C941E8" w:rsidP="00C941E8">
            <w:pPr>
              <w:numPr>
                <w:ilvl w:val="0"/>
                <w:numId w:val="5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Organisation of the ECN</w:t>
            </w:r>
          </w:p>
          <w:p w:rsidR="00C941E8" w:rsidRPr="00C941E8" w:rsidRDefault="00C941E8" w:rsidP="00C941E8">
            <w:pPr>
              <w:numPr>
                <w:ilvl w:val="0"/>
                <w:numId w:val="5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Mechanisms of the ECN</w:t>
            </w:r>
          </w:p>
          <w:p w:rsidR="00C941E8" w:rsidRPr="00C941E8" w:rsidRDefault="00C941E8" w:rsidP="00C941E8">
            <w:pPr>
              <w:numPr>
                <w:ilvl w:val="0"/>
                <w:numId w:val="5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Allocation of cases, exchange of information, evidence gathering</w:t>
            </w:r>
          </w:p>
          <w:p w:rsidR="00C941E8" w:rsidRPr="00C941E8" w:rsidRDefault="00C941E8" w:rsidP="00C941E8">
            <w:pPr>
              <w:numPr>
                <w:ilvl w:val="0"/>
                <w:numId w:val="5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ECN and protection of party's procedural rights</w:t>
            </w:r>
          </w:p>
          <w:p w:rsidR="00C941E8" w:rsidRPr="00C941E8" w:rsidRDefault="00C941E8" w:rsidP="00C941E8">
            <w:pPr>
              <w:numPr>
                <w:ilvl w:val="0"/>
                <w:numId w:val="5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C941E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Modernisation</w:t>
            </w:r>
            <w:proofErr w:type="spellEnd"/>
            <w:r w:rsidRPr="00C941E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 xml:space="preserve"> of national legal systems of enforcement of competition law</w:t>
            </w:r>
          </w:p>
          <w:p w:rsidR="00C941E8" w:rsidRPr="00C941E8" w:rsidRDefault="00C941E8" w:rsidP="00C941E8">
            <w:pPr>
              <w:numPr>
                <w:ilvl w:val="0"/>
                <w:numId w:val="5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Introduction of uniform standards of the enforcement of competition law</w:t>
            </w:r>
          </w:p>
          <w:p w:rsidR="00C941E8" w:rsidRPr="00C941E8" w:rsidRDefault="00C941E8" w:rsidP="00C941E8">
            <w:pPr>
              <w:ind w:left="1395"/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Required textbooks:</w:t>
            </w:r>
          </w:p>
          <w:p w:rsidR="00C941E8" w:rsidRPr="00C941E8" w:rsidRDefault="00C941E8" w:rsidP="00C941E8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Cengiz</w:t>
            </w:r>
            <w:proofErr w:type="spellEnd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F., Multi-Level Governance in Competition Policy: the European Competition Network, „European Law Review”, October 2010, </w:t>
            </w:r>
            <w:proofErr w:type="spellStart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nr</w:t>
            </w:r>
            <w:proofErr w:type="spellEnd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35.</w:t>
            </w:r>
          </w:p>
          <w:p w:rsidR="00C941E8" w:rsidRPr="00C941E8" w:rsidRDefault="00C941E8" w:rsidP="00C941E8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Cengiz</w:t>
            </w:r>
            <w:proofErr w:type="spellEnd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F., The European Competition Network, EUI Working Papers, MWP 2009, </w:t>
            </w:r>
            <w:proofErr w:type="spellStart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nr</w:t>
            </w:r>
            <w:proofErr w:type="spellEnd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5.</w:t>
            </w:r>
          </w:p>
          <w:p w:rsidR="00C941E8" w:rsidRPr="00C941E8" w:rsidRDefault="00C941E8" w:rsidP="00C941E8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Dekeyser</w:t>
            </w:r>
            <w:proofErr w:type="spellEnd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K., Jaspers M., A New Era of ECN Cooperation. Achievements and Challenges with Special Focus on work in the Leniency Field, „World Competition” 2007, no 30 (1).</w:t>
            </w:r>
          </w:p>
          <w:p w:rsidR="00C941E8" w:rsidRPr="00C941E8" w:rsidRDefault="00C941E8" w:rsidP="00C941E8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D’Orta</w:t>
            </w:r>
            <w:proofErr w:type="spellEnd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C., What future for the European Administrative Space, European Institute of Public Administration, „Working Paper” </w:t>
            </w:r>
            <w:proofErr w:type="spellStart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nr</w:t>
            </w:r>
            <w:proofErr w:type="spellEnd"/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2003/W/5.</w:t>
            </w:r>
          </w:p>
          <w:p w:rsidR="00C941E8" w:rsidRPr="00C941E8" w:rsidRDefault="00C941E8" w:rsidP="00C941E8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Jóźwiak S., Europejska Sieć Konkurencji – model: struktura i współpraca oraz kompetencje decyzyjne członków, UOKiK 2011.</w:t>
            </w:r>
          </w:p>
          <w:p w:rsidR="00C941E8" w:rsidRPr="00C941E8" w:rsidRDefault="00C941E8" w:rsidP="00C941E8">
            <w:pPr>
              <w:numPr>
                <w:ilvl w:val="0"/>
                <w:numId w:val="6"/>
              </w:numPr>
              <w:spacing w:after="47" w:line="237" w:lineRule="auto"/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Kowalik-Bańczyk K., Prawo do obrony w unijnych postępowaniach 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antymonopolowych. W kierunku unifikacji standardów proceduralnych w Unii Europejskiej, Warszawa 2012.</w:t>
            </w:r>
          </w:p>
          <w:p w:rsidR="00C941E8" w:rsidRPr="00C941E8" w:rsidRDefault="00C941E8" w:rsidP="00C941E8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C941E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Supernat</w:t>
            </w:r>
            <w:proofErr w:type="spellEnd"/>
            <w:r w:rsidRPr="00C941E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J., Europejska przestrzeń administracyjna (zagadnienia wybrane), in: Z. Jan- ku, Z. </w:t>
            </w:r>
            <w:proofErr w:type="spellStart"/>
            <w:r w:rsidRPr="00C941E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Leoński</w:t>
            </w:r>
            <w:proofErr w:type="spellEnd"/>
            <w:r w:rsidRPr="00C941E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, M. Szewczyk, M. Waligórski, K. Wojtczak (ed.), Europeizacja polskiego prawa administracyjnego, Wrocław 2005.</w:t>
            </w:r>
          </w:p>
          <w:p w:rsidR="00C941E8" w:rsidRPr="00C941E8" w:rsidRDefault="00C941E8" w:rsidP="00C941E8">
            <w:pPr>
              <w:numPr>
                <w:ilvl w:val="0"/>
                <w:numId w:val="6"/>
              </w:num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Wróbel A., Europeizacja polskiego prawa o postępowaniu administracyjnym a autonomia proceduralna państw członkowskich Unii Europejskiej, in: I. </w:t>
            </w:r>
            <w:proofErr w:type="spellStart"/>
            <w:r w:rsidRPr="00C941E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Rzucidło</w:t>
            </w:r>
            <w:proofErr w:type="spellEnd"/>
            <w:r w:rsidRPr="00C941E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(ed.), Europeizacja prawa administracyjnego, Lublin 2011.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Assessment:</w:t>
            </w:r>
          </w:p>
          <w:p w:rsidR="00C941E8" w:rsidRPr="00C941E8" w:rsidRDefault="00C941E8" w:rsidP="00C941E8">
            <w:pPr>
              <w:ind w:left="360"/>
              <w:jc w:val="left"/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1.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ab/>
              <w:t>Pre-test and post-test verification of knowledge (pass grade from minimum 60%)</w:t>
            </w:r>
          </w:p>
          <w:p w:rsidR="00C941E8" w:rsidRPr="00C941E8" w:rsidRDefault="00C941E8" w:rsidP="00C941E8">
            <w:pPr>
              <w:ind w:left="360"/>
              <w:jc w:val="left"/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2.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ab/>
              <w:t>Text analysis and case study (for pass grade at least one text or case study)</w:t>
            </w:r>
          </w:p>
          <w:p w:rsidR="00C941E8" w:rsidRPr="00C941E8" w:rsidRDefault="00C941E8" w:rsidP="00C941E8">
            <w:pPr>
              <w:ind w:left="360"/>
              <w:jc w:val="left"/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3.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ab/>
              <w:t>List of questions prepared for conference attendance (compliant with conference paper titles/abstracts) (min 5 question for pass grade)</w:t>
            </w:r>
          </w:p>
        </w:tc>
      </w:tr>
      <w:tr w:rsidR="00C941E8" w:rsidRPr="00C941E8" w:rsidTr="00317182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lastRenderedPageBreak/>
              <w:t>Impact</w:t>
            </w:r>
          </w:p>
        </w:tc>
        <w:tc>
          <w:tcPr>
            <w:tcW w:w="7839" w:type="dxa"/>
            <w:gridSpan w:val="6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ind w:left="180"/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Dissemination of knowledge about European Competition Network as an example of the European Administrative Space.</w:t>
            </w:r>
          </w:p>
        </w:tc>
      </w:tr>
      <w:tr w:rsidR="00C941E8" w:rsidRPr="00C941E8" w:rsidTr="00317182">
        <w:trPr>
          <w:trHeight w:val="233"/>
        </w:trPr>
        <w:tc>
          <w:tcPr>
            <w:tcW w:w="1808" w:type="dxa"/>
            <w:tcBorders>
              <w:top w:val="single" w:sz="6" w:space="0" w:color="000000"/>
              <w:left w:val="out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ind w:left="18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1</w:t>
            </w: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val="en-GB" w:eastAsia="en-GB"/>
              </w:rPr>
              <w:t>st</w:t>
            </w: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acad. year: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ind w:left="18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2</w:t>
            </w: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val="en-GB" w:eastAsia="en-GB"/>
              </w:rPr>
              <w:t>nd</w:t>
            </w: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acad. year: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ind w:left="18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3</w:t>
            </w: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val="en-GB" w:eastAsia="en-GB"/>
              </w:rPr>
              <w:t>rd</w:t>
            </w: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acad. year: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ind w:left="18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Total over 3 years:</w:t>
            </w:r>
          </w:p>
        </w:tc>
      </w:tr>
      <w:tr w:rsidR="00C941E8" w:rsidRPr="00C941E8" w:rsidTr="00317182">
        <w:trPr>
          <w:trHeight w:val="232"/>
        </w:trPr>
        <w:tc>
          <w:tcPr>
            <w:tcW w:w="1808" w:type="dxa"/>
            <w:tcBorders>
              <w:left w:val="out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380D29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N° of hours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ind w:left="180"/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ind w:left="180"/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ind w:left="180"/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ind w:left="180"/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90</w:t>
            </w:r>
          </w:p>
        </w:tc>
      </w:tr>
      <w:tr w:rsidR="00C941E8" w:rsidRPr="00C941E8" w:rsidTr="00317182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N° of students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ind w:left="180"/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ind w:left="180"/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ind w:left="180"/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ind w:left="180"/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60</w:t>
            </w:r>
          </w:p>
        </w:tc>
      </w:tr>
      <w:tr w:rsidR="00C941E8" w:rsidRPr="00C941E8" w:rsidTr="00317182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Discipline of </w:t>
            </w:r>
          </w:p>
          <w:p w:rsidR="00C941E8" w:rsidRPr="00C941E8" w:rsidRDefault="00C941E8" w:rsidP="00380D29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audience</w:t>
            </w:r>
          </w:p>
        </w:tc>
        <w:tc>
          <w:tcPr>
            <w:tcW w:w="7839" w:type="dxa"/>
            <w:gridSpan w:val="6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ind w:left="180"/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Public Administration, Internal Security, International Relations, Political Science, Social Economics, Law</w:t>
            </w:r>
          </w:p>
        </w:tc>
      </w:tr>
      <w:tr w:rsidR="00C941E8" w:rsidRPr="00C941E8" w:rsidTr="00317182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Year/type of study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x 1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en-GB" w:eastAsia="en-GB"/>
              </w:rPr>
              <w:t>st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cycle (Bachelor)  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x 2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en-GB" w:eastAsia="en-GB"/>
              </w:rPr>
              <w:t>nd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cycle (Masters)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3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en-GB" w:eastAsia="en-GB"/>
              </w:rPr>
              <w:t>rd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cycle (Postgraduate)</w:t>
            </w:r>
          </w:p>
        </w:tc>
        <w:tc>
          <w:tcPr>
            <w:tcW w:w="4599" w:type="dxa"/>
            <w:gridSpan w:val="4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Doctoral studies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Summer school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C941E8" w:rsidRPr="00C941E8" w:rsidTr="00317182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380D29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Nature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Compulsory  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x Optional</w:t>
            </w:r>
          </w:p>
        </w:tc>
        <w:tc>
          <w:tcPr>
            <w:tcW w:w="4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x New 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Existing</w:t>
            </w:r>
          </w:p>
        </w:tc>
      </w:tr>
      <w:tr w:rsidR="00C941E8" w:rsidRPr="00C941E8" w:rsidTr="00317182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380D29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Timing</w:t>
            </w:r>
            <w:bookmarkStart w:id="0" w:name="_GoBack"/>
            <w:bookmarkEnd w:id="0"/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x 1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en-GB" w:eastAsia="en-GB"/>
              </w:rPr>
              <w:t>st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year  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x 2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en-GB" w:eastAsia="en-GB"/>
              </w:rPr>
              <w:t>nd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year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x 3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en-GB" w:eastAsia="en-GB"/>
              </w:rPr>
              <w:t>rd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year</w:t>
            </w:r>
          </w:p>
        </w:tc>
        <w:tc>
          <w:tcPr>
            <w:tcW w:w="4599" w:type="dxa"/>
            <w:gridSpan w:val="4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1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en-GB" w:eastAsia="en-GB"/>
              </w:rPr>
              <w:t>st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semester  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x 2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en-GB" w:eastAsia="en-GB"/>
              </w:rPr>
              <w:t>nd</w:t>
            </w:r>
            <w:r w:rsidRPr="00C941E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semester</w:t>
            </w:r>
          </w:p>
          <w:p w:rsidR="00C941E8" w:rsidRPr="00C941E8" w:rsidRDefault="00C941E8" w:rsidP="00C941E8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</w:tbl>
    <w:p w:rsidR="00F4321C" w:rsidRDefault="00F4321C" w:rsidP="00380D29">
      <w:pPr>
        <w:ind w:right="-136"/>
        <w:jc w:val="left"/>
      </w:pPr>
    </w:p>
    <w:sectPr w:rsidR="00F4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BA" w:rsidRDefault="009F68BA" w:rsidP="00C941E8">
      <w:r>
        <w:separator/>
      </w:r>
    </w:p>
  </w:endnote>
  <w:endnote w:type="continuationSeparator" w:id="0">
    <w:p w:rsidR="009F68BA" w:rsidRDefault="009F68BA" w:rsidP="00C9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BA" w:rsidRDefault="009F68BA" w:rsidP="00C941E8">
      <w:r>
        <w:separator/>
      </w:r>
    </w:p>
  </w:footnote>
  <w:footnote w:type="continuationSeparator" w:id="0">
    <w:p w:rsidR="009F68BA" w:rsidRDefault="009F68BA" w:rsidP="00C9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910"/>
    <w:multiLevelType w:val="multilevel"/>
    <w:tmpl w:val="C9E29FF2"/>
    <w:lvl w:ilvl="0">
      <w:start w:val="1"/>
      <w:numFmt w:val="decimal"/>
      <w:lvlText w:val="%1."/>
      <w:lvlJc w:val="left"/>
      <w:pPr>
        <w:ind w:left="1395" w:hanging="360"/>
      </w:pPr>
    </w:lvl>
    <w:lvl w:ilvl="1">
      <w:start w:val="1"/>
      <w:numFmt w:val="decimal"/>
      <w:isLgl/>
      <w:lvlText w:val="%1.%2."/>
      <w:lvlJc w:val="left"/>
      <w:pPr>
        <w:ind w:left="1755" w:hanging="360"/>
      </w:pPr>
    </w:lvl>
    <w:lvl w:ilvl="2">
      <w:start w:val="1"/>
      <w:numFmt w:val="decimal"/>
      <w:isLgl/>
      <w:lvlText w:val="%1.%2.%3."/>
      <w:lvlJc w:val="left"/>
      <w:pPr>
        <w:ind w:left="2475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555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635" w:hanging="1440"/>
      </w:pPr>
    </w:lvl>
    <w:lvl w:ilvl="7">
      <w:start w:val="1"/>
      <w:numFmt w:val="decimal"/>
      <w:isLgl/>
      <w:lvlText w:val="%1.%2.%3.%4.%5.%6.%7.%8."/>
      <w:lvlJc w:val="left"/>
      <w:pPr>
        <w:ind w:left="4995" w:hanging="1440"/>
      </w:pPr>
    </w:lvl>
    <w:lvl w:ilvl="8">
      <w:start w:val="1"/>
      <w:numFmt w:val="decimal"/>
      <w:isLgl/>
      <w:lvlText w:val="%1.%2.%3.%4.%5.%6.%7.%8.%9."/>
      <w:lvlJc w:val="left"/>
      <w:pPr>
        <w:ind w:left="5715" w:hanging="1800"/>
      </w:pPr>
    </w:lvl>
  </w:abstractNum>
  <w:abstractNum w:abstractNumId="1">
    <w:nsid w:val="3B0E4D17"/>
    <w:multiLevelType w:val="hybridMultilevel"/>
    <w:tmpl w:val="4632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25D58"/>
    <w:multiLevelType w:val="hybridMultilevel"/>
    <w:tmpl w:val="EDCC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6F62"/>
    <w:multiLevelType w:val="hybridMultilevel"/>
    <w:tmpl w:val="4D9CC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465DC"/>
    <w:multiLevelType w:val="hybridMultilevel"/>
    <w:tmpl w:val="93523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E6DE4"/>
    <w:multiLevelType w:val="hybridMultilevel"/>
    <w:tmpl w:val="3C3C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E524C"/>
    <w:multiLevelType w:val="hybridMultilevel"/>
    <w:tmpl w:val="5106B912"/>
    <w:lvl w:ilvl="0" w:tplc="79CC06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E8"/>
    <w:rsid w:val="00380D29"/>
    <w:rsid w:val="009F68BA"/>
    <w:rsid w:val="00C941E8"/>
    <w:rsid w:val="00F4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1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1E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941E8"/>
    <w:rPr>
      <w:rFonts w:cs="Times New Roman"/>
      <w:position w:val="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1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1E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941E8"/>
    <w:rPr>
      <w:rFonts w:cs="Times New Roman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2</cp:revision>
  <dcterms:created xsi:type="dcterms:W3CDTF">2017-09-15T06:48:00Z</dcterms:created>
  <dcterms:modified xsi:type="dcterms:W3CDTF">2017-09-15T06:56:00Z</dcterms:modified>
</cp:coreProperties>
</file>