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71" w:rsidRPr="00792C71" w:rsidRDefault="00792C71" w:rsidP="00792C71">
      <w:pPr>
        <w:pBdr>
          <w:bottom w:val="single" w:sz="4" w:space="4" w:color="4F81BD"/>
        </w:pBdr>
        <w:spacing w:before="200" w:beforeAutospacing="0" w:after="280" w:afterAutospacing="0" w:line="240" w:lineRule="auto"/>
        <w:ind w:left="936" w:right="936" w:firstLine="0"/>
        <w:jc w:val="center"/>
        <w:rPr>
          <w:rFonts w:ascii="Cambria" w:eastAsia="MS Mincho" w:hAnsi="Cambria" w:cs="Times New Roman"/>
          <w:color w:val="262626"/>
          <w:sz w:val="32"/>
          <w:szCs w:val="24"/>
        </w:rPr>
      </w:pPr>
      <w:r w:rsidRPr="00792C71">
        <w:rPr>
          <w:rFonts w:ascii="Cambria" w:eastAsia="MS Mincho" w:hAnsi="Cambria" w:cs="Times New Roman"/>
          <w:color w:val="262626"/>
          <w:sz w:val="32"/>
          <w:szCs w:val="24"/>
        </w:rPr>
        <w:t>Unijny mandat sądów polskich i organów administracyjnych</w:t>
      </w:r>
    </w:p>
    <w:p w:rsidR="00792C71" w:rsidRPr="00792C71" w:rsidRDefault="00792C71" w:rsidP="00792C71">
      <w:pPr>
        <w:spacing w:before="0" w:beforeAutospacing="0" w:after="0" w:afterAutospacing="0" w:line="240" w:lineRule="auto"/>
        <w:ind w:firstLine="0"/>
        <w:jc w:val="both"/>
        <w:rPr>
          <w:rFonts w:eastAsia="MS Mincho" w:cs="Times New Roman"/>
          <w:szCs w:val="24"/>
        </w:rPr>
      </w:pPr>
    </w:p>
    <w:p w:rsidR="00792C71" w:rsidRPr="00792C71" w:rsidRDefault="00792C71" w:rsidP="00792C71">
      <w:pPr>
        <w:spacing w:before="0" w:beforeAutospacing="0" w:after="0" w:afterAutospacing="0" w:line="240" w:lineRule="auto"/>
        <w:ind w:firstLine="0"/>
        <w:jc w:val="center"/>
        <w:rPr>
          <w:rFonts w:eastAsia="MS Mincho" w:cs="Times New Roman"/>
          <w:b/>
          <w:szCs w:val="24"/>
          <w:u w:val="single"/>
        </w:rPr>
      </w:pPr>
    </w:p>
    <w:p w:rsidR="00792C71" w:rsidRPr="00792C71" w:rsidRDefault="00792C71" w:rsidP="00792C71">
      <w:pPr>
        <w:spacing w:before="0" w:beforeAutospacing="0" w:after="0" w:afterAutospacing="0" w:line="240" w:lineRule="auto"/>
        <w:ind w:firstLine="0"/>
        <w:jc w:val="center"/>
        <w:rPr>
          <w:rFonts w:eastAsia="MS Mincho" w:cs="Times New Roman"/>
          <w:b/>
          <w:szCs w:val="24"/>
          <w:u w:val="single"/>
        </w:rPr>
      </w:pPr>
      <w:r w:rsidRPr="00792C71">
        <w:rPr>
          <w:rFonts w:eastAsia="MS Mincho" w:cs="Times New Roman"/>
          <w:b/>
          <w:szCs w:val="24"/>
          <w:u w:val="single"/>
        </w:rPr>
        <w:t>KONSPEKT WYKŁADU</w:t>
      </w:r>
    </w:p>
    <w:p w:rsidR="00792C71" w:rsidRPr="00792C71" w:rsidRDefault="00792C71" w:rsidP="00792C71">
      <w:pPr>
        <w:spacing w:before="0" w:beforeAutospacing="0" w:after="0" w:afterAutospacing="0" w:line="240" w:lineRule="auto"/>
        <w:ind w:firstLine="0"/>
        <w:jc w:val="both"/>
        <w:rPr>
          <w:rFonts w:eastAsia="MS Mincho" w:cs="Times New Roman"/>
          <w:b/>
          <w:szCs w:val="24"/>
        </w:rPr>
      </w:pPr>
    </w:p>
    <w:p w:rsidR="00792C71" w:rsidRPr="00792C71" w:rsidRDefault="00792C71" w:rsidP="00792C71">
      <w:pPr>
        <w:spacing w:before="0" w:beforeAutospacing="0" w:after="0" w:afterAutospacing="0" w:line="240" w:lineRule="auto"/>
        <w:ind w:firstLine="0"/>
        <w:rPr>
          <w:rFonts w:ascii="Cambria" w:eastAsia="MS Mincho" w:hAnsi="Cambria" w:cs="Times New Roman"/>
          <w:szCs w:val="24"/>
        </w:rPr>
      </w:pPr>
    </w:p>
    <w:p w:rsidR="00792C71" w:rsidRPr="00792C71" w:rsidRDefault="00792C71" w:rsidP="00792C71">
      <w:pPr>
        <w:numPr>
          <w:ilvl w:val="0"/>
          <w:numId w:val="1"/>
        </w:numPr>
        <w:spacing w:before="0" w:beforeAutospacing="0" w:after="0" w:afterAutospacing="0" w:line="240" w:lineRule="auto"/>
        <w:contextualSpacing/>
        <w:jc w:val="both"/>
        <w:rPr>
          <w:rFonts w:eastAsia="Cambria" w:cs="Times New Roman"/>
          <w:szCs w:val="24"/>
        </w:rPr>
      </w:pPr>
      <w:r w:rsidRPr="00792C71">
        <w:rPr>
          <w:rFonts w:eastAsia="Cambria" w:cs="Times New Roman"/>
          <w:szCs w:val="24"/>
        </w:rPr>
        <w:t xml:space="preserve">Sprawy unijne i sprawy wewnętrzne – różne standardy </w:t>
      </w:r>
    </w:p>
    <w:p w:rsidR="00792C71" w:rsidRPr="00792C71" w:rsidRDefault="00792C71" w:rsidP="00792C71">
      <w:pPr>
        <w:numPr>
          <w:ilvl w:val="1"/>
          <w:numId w:val="1"/>
        </w:numPr>
        <w:spacing w:before="0" w:beforeAutospacing="0" w:after="0" w:afterAutospacing="0" w:line="240" w:lineRule="auto"/>
        <w:contextualSpacing/>
        <w:jc w:val="both"/>
        <w:rPr>
          <w:rFonts w:eastAsia="Cambria" w:cs="Times New Roman"/>
          <w:szCs w:val="24"/>
        </w:rPr>
      </w:pPr>
      <w:r w:rsidRPr="00792C71">
        <w:rPr>
          <w:rFonts w:eastAsia="Cambria" w:cs="Times New Roman"/>
          <w:szCs w:val="24"/>
        </w:rPr>
        <w:t xml:space="preserve">Zakres stosowania prawa UE </w:t>
      </w:r>
    </w:p>
    <w:p w:rsidR="00792C71" w:rsidRPr="00792C71" w:rsidRDefault="00792C71" w:rsidP="00792C71">
      <w:pPr>
        <w:spacing w:before="0" w:beforeAutospacing="0" w:after="0" w:afterAutospacing="0" w:line="240" w:lineRule="auto"/>
        <w:ind w:firstLine="0"/>
        <w:jc w:val="both"/>
        <w:rPr>
          <w:rFonts w:ascii="Cambria" w:eastAsia="MS Mincho" w:hAnsi="Cambria" w:cs="Times New Roman"/>
          <w:szCs w:val="24"/>
        </w:rPr>
      </w:pPr>
      <w:r w:rsidRPr="00792C71">
        <w:rPr>
          <w:rFonts w:ascii="Cambria" w:eastAsia="MS Mincho" w:hAnsi="Cambria" w:cs="Times New Roman"/>
          <w:szCs w:val="24"/>
        </w:rPr>
        <w:t>Dlaczego są problemy? Bo sędziowie / urzędnicy b często uciekają przed odwołaniem się do prawa UE, a także, co niezrozumiałe, najczęściej nie podejmują wniosków stron o zadanie pytania prejudycjalnego.</w:t>
      </w:r>
    </w:p>
    <w:p w:rsidR="00792C71" w:rsidRPr="00792C71" w:rsidRDefault="00792C71" w:rsidP="00792C71">
      <w:pPr>
        <w:spacing w:before="0" w:beforeAutospacing="0" w:after="0" w:afterAutospacing="0" w:line="240" w:lineRule="auto"/>
        <w:ind w:firstLine="0"/>
        <w:jc w:val="both"/>
        <w:rPr>
          <w:rFonts w:ascii="Cambria" w:eastAsia="MS Mincho" w:hAnsi="Cambria" w:cs="Times New Roman"/>
          <w:szCs w:val="24"/>
        </w:rPr>
      </w:pPr>
      <w:r w:rsidRPr="00792C71">
        <w:rPr>
          <w:rFonts w:ascii="Cambria" w:eastAsia="MS Mincho" w:hAnsi="Cambria" w:cs="Times New Roman"/>
          <w:szCs w:val="24"/>
        </w:rPr>
        <w:t>Sprawa „czysto” wewnętrzna czy unijna: ustalenie przez sąd/organ administracyjny, że sprawa ma charakter sprawy czysto wewnętrznej, oznacza m.in. to, że do sprawy tej nie mają zastosowania przepisy (materialnego) prawa UE</w:t>
      </w:r>
      <w:r w:rsidRPr="00792C71">
        <w:rPr>
          <w:rFonts w:ascii="MS Mincho" w:eastAsia="MS Mincho" w:hAnsi="MS Mincho" w:cs="MS Mincho" w:hint="eastAsia"/>
          <w:szCs w:val="24"/>
        </w:rPr>
        <w:t> </w:t>
      </w:r>
      <w:r w:rsidRPr="00792C71">
        <w:rPr>
          <w:rFonts w:ascii="Cambria" w:eastAsia="MS Mincho" w:hAnsi="Cambria" w:cs="Times New Roman"/>
          <w:szCs w:val="24"/>
        </w:rPr>
        <w:t xml:space="preserve">W efekcie m.in.: </w:t>
      </w:r>
    </w:p>
    <w:p w:rsidR="00792C71" w:rsidRPr="00792C71" w:rsidRDefault="00792C71" w:rsidP="00792C71">
      <w:pPr>
        <w:numPr>
          <w:ilvl w:val="3"/>
          <w:numId w:val="1"/>
        </w:numPr>
        <w:spacing w:before="0" w:beforeAutospacing="0" w:after="0" w:afterAutospacing="0" w:line="240" w:lineRule="auto"/>
        <w:contextualSpacing/>
        <w:jc w:val="both"/>
        <w:rPr>
          <w:rFonts w:ascii="Cambria" w:eastAsia="Cambria" w:hAnsi="Cambria" w:cs="Times New Roman"/>
          <w:sz w:val="22"/>
        </w:rPr>
      </w:pPr>
      <w:proofErr w:type="gramStart"/>
      <w:r w:rsidRPr="00792C71">
        <w:rPr>
          <w:rFonts w:ascii="Cambria" w:eastAsia="Cambria" w:hAnsi="Cambria" w:cs="Times New Roman"/>
          <w:sz w:val="22"/>
        </w:rPr>
        <w:t>niedopuszczalne</w:t>
      </w:r>
      <w:proofErr w:type="gramEnd"/>
      <w:r w:rsidRPr="00792C71">
        <w:rPr>
          <w:rFonts w:ascii="Cambria" w:eastAsia="Cambria" w:hAnsi="Cambria" w:cs="Times New Roman"/>
          <w:sz w:val="22"/>
        </w:rPr>
        <w:t xml:space="preserve"> jest zwracanie </w:t>
      </w:r>
      <w:proofErr w:type="spellStart"/>
      <w:r w:rsidRPr="00792C71">
        <w:rPr>
          <w:rFonts w:ascii="Cambria" w:eastAsia="Cambria" w:hAnsi="Cambria" w:cs="Times New Roman"/>
          <w:sz w:val="22"/>
        </w:rPr>
        <w:t>sie</w:t>
      </w:r>
      <w:proofErr w:type="spellEnd"/>
      <w:r w:rsidRPr="00792C71">
        <w:rPr>
          <w:rFonts w:ascii="Cambria" w:eastAsia="Cambria" w:hAnsi="Cambria" w:cs="Times New Roman"/>
          <w:sz w:val="22"/>
        </w:rPr>
        <w:t xml:space="preserve">̨ z pytaniem prawnym (prejudycjalnym) do TSUE </w:t>
      </w:r>
    </w:p>
    <w:p w:rsidR="00792C71" w:rsidRPr="00792C71" w:rsidRDefault="00792C71" w:rsidP="00792C71">
      <w:pPr>
        <w:numPr>
          <w:ilvl w:val="3"/>
          <w:numId w:val="1"/>
        </w:numPr>
        <w:spacing w:before="0" w:beforeAutospacing="0" w:after="0" w:afterAutospacing="0" w:line="240" w:lineRule="auto"/>
        <w:contextualSpacing/>
        <w:jc w:val="both"/>
        <w:rPr>
          <w:rFonts w:ascii="Cambria" w:eastAsia="Cambria" w:hAnsi="Cambria" w:cs="Times New Roman"/>
          <w:sz w:val="22"/>
        </w:rPr>
      </w:pPr>
      <w:proofErr w:type="gramStart"/>
      <w:r w:rsidRPr="00792C71">
        <w:rPr>
          <w:rFonts w:ascii="Cambria" w:eastAsia="Cambria" w:hAnsi="Cambria" w:cs="Times New Roman"/>
          <w:sz w:val="22"/>
        </w:rPr>
        <w:t>dopuszczalne</w:t>
      </w:r>
      <w:proofErr w:type="gramEnd"/>
      <w:r w:rsidRPr="00792C71">
        <w:rPr>
          <w:rFonts w:ascii="Cambria" w:eastAsia="Cambria" w:hAnsi="Cambria" w:cs="Times New Roman"/>
          <w:sz w:val="22"/>
        </w:rPr>
        <w:t xml:space="preserve"> jest – z punktu widzenia prawa UE - gorsze traktowanie, również w sensie procesowym, obywateli polskich dochodzących roszczeń́ opartych wyłącznie na przepisach prawa </w:t>
      </w:r>
      <w:proofErr w:type="gramStart"/>
      <w:r w:rsidRPr="00792C71">
        <w:rPr>
          <w:rFonts w:ascii="Cambria" w:eastAsia="Cambria" w:hAnsi="Cambria" w:cs="Times New Roman"/>
          <w:sz w:val="22"/>
        </w:rPr>
        <w:t>polskiego</w:t>
      </w:r>
      <w:proofErr w:type="gramEnd"/>
      <w:r w:rsidRPr="00792C71">
        <w:rPr>
          <w:rFonts w:ascii="Cambria" w:eastAsia="Cambria" w:hAnsi="Cambria" w:cs="Times New Roman"/>
          <w:sz w:val="22"/>
        </w:rPr>
        <w:t xml:space="preserve"> niż̇ obywateli polskich i obywateli Unii Europejskiej, którzy dochodzą̨ roszczeń́ opartych na prawie unijnym (</w:t>
      </w:r>
      <w:r w:rsidRPr="00792C71">
        <w:rPr>
          <w:rFonts w:ascii="Cambria" w:eastAsia="Cambria" w:hAnsi="Cambria" w:cs="Times New Roman"/>
          <w:i/>
          <w:sz w:val="22"/>
        </w:rPr>
        <w:t xml:space="preserve">dyskryminacja á </w:t>
      </w:r>
      <w:proofErr w:type="spellStart"/>
      <w:r w:rsidRPr="00792C71">
        <w:rPr>
          <w:rFonts w:ascii="Cambria" w:eastAsia="Cambria" w:hAnsi="Cambria" w:cs="Times New Roman"/>
          <w:i/>
          <w:sz w:val="22"/>
        </w:rPr>
        <w:t>rebours</w:t>
      </w:r>
      <w:proofErr w:type="spellEnd"/>
      <w:r w:rsidRPr="00792C71">
        <w:rPr>
          <w:rFonts w:ascii="Cambria" w:eastAsia="Cambria" w:hAnsi="Cambria" w:cs="Times New Roman"/>
          <w:sz w:val="22"/>
        </w:rPr>
        <w:t xml:space="preserve">) </w:t>
      </w:r>
    </w:p>
    <w:p w:rsidR="00792C71" w:rsidRPr="00792C71" w:rsidRDefault="00792C71" w:rsidP="00792C71">
      <w:pPr>
        <w:spacing w:before="0" w:beforeAutospacing="0" w:after="0" w:afterAutospacing="0" w:line="240" w:lineRule="auto"/>
        <w:ind w:firstLine="0"/>
        <w:rPr>
          <w:rFonts w:ascii="Cambria" w:eastAsia="MS Mincho" w:hAnsi="Cambria" w:cs="Times New Roman"/>
          <w:b/>
          <w:szCs w:val="24"/>
        </w:rPr>
      </w:pPr>
    </w:p>
    <w:p w:rsidR="00792C71" w:rsidRPr="00792C71" w:rsidRDefault="00792C71" w:rsidP="00792C71">
      <w:pPr>
        <w:spacing w:before="0" w:beforeAutospacing="0" w:after="0" w:afterAutospacing="0" w:line="240" w:lineRule="auto"/>
        <w:ind w:firstLine="0"/>
        <w:rPr>
          <w:rFonts w:ascii="Cambria" w:eastAsia="MS Mincho" w:hAnsi="Cambria" w:cs="Times New Roman"/>
          <w:b/>
          <w:szCs w:val="24"/>
        </w:rPr>
      </w:pPr>
      <w:r w:rsidRPr="00792C71">
        <w:rPr>
          <w:rFonts w:ascii="Cambria" w:eastAsia="MS Mincho" w:hAnsi="Cambria" w:cs="Times New Roman"/>
          <w:b/>
          <w:szCs w:val="24"/>
        </w:rPr>
        <w:t>1 temat - Obowiązki unijne sądu i organu administracyjnego – w sprawach unijnych</w:t>
      </w:r>
    </w:p>
    <w:p w:rsidR="00792C71" w:rsidRPr="00792C71" w:rsidRDefault="00792C71" w:rsidP="00792C71">
      <w:pPr>
        <w:numPr>
          <w:ilvl w:val="0"/>
          <w:numId w:val="2"/>
        </w:numPr>
        <w:spacing w:before="0" w:beforeAutospacing="0" w:after="0" w:afterAutospacing="0" w:line="240" w:lineRule="auto"/>
        <w:contextualSpacing/>
        <w:jc w:val="both"/>
        <w:rPr>
          <w:rFonts w:ascii="Cambria" w:eastAsia="Cambria" w:hAnsi="Cambria" w:cs="Times New Roman"/>
          <w:sz w:val="22"/>
        </w:rPr>
      </w:pPr>
      <w:r w:rsidRPr="00792C71">
        <w:rPr>
          <w:rFonts w:ascii="Cambria" w:eastAsia="Cambria" w:hAnsi="Cambria" w:cs="Times New Roman"/>
          <w:sz w:val="22"/>
        </w:rPr>
        <w:t xml:space="preserve">Zastosowanie w konkretnej sprawie przepisu prawa </w:t>
      </w:r>
      <w:proofErr w:type="gramStart"/>
      <w:r w:rsidRPr="00792C71">
        <w:rPr>
          <w:rFonts w:ascii="Cambria" w:eastAsia="Cambria" w:hAnsi="Cambria" w:cs="Times New Roman"/>
          <w:sz w:val="22"/>
        </w:rPr>
        <w:t>UE jako</w:t>
      </w:r>
      <w:proofErr w:type="gramEnd"/>
      <w:r w:rsidRPr="00792C71">
        <w:rPr>
          <w:rFonts w:ascii="Cambria" w:eastAsia="Cambria" w:hAnsi="Cambria" w:cs="Times New Roman"/>
          <w:sz w:val="22"/>
        </w:rPr>
        <w:t xml:space="preserve"> podstawy rozstrzygnięcia sądu - po rozważeniu przez sąd: </w:t>
      </w:r>
    </w:p>
    <w:p w:rsidR="00792C71" w:rsidRPr="00792C71" w:rsidRDefault="00792C71" w:rsidP="00792C71">
      <w:pPr>
        <w:numPr>
          <w:ilvl w:val="0"/>
          <w:numId w:val="3"/>
        </w:numPr>
        <w:spacing w:before="0" w:beforeAutospacing="0" w:after="0" w:afterAutospacing="0" w:line="240" w:lineRule="auto"/>
        <w:contextualSpacing/>
        <w:jc w:val="both"/>
        <w:rPr>
          <w:rFonts w:ascii="Cambria" w:eastAsia="Cambria" w:hAnsi="Cambria" w:cs="Times New Roman"/>
          <w:sz w:val="22"/>
        </w:rPr>
      </w:pPr>
      <w:proofErr w:type="gramStart"/>
      <w:r w:rsidRPr="00792C71">
        <w:rPr>
          <w:rFonts w:ascii="Cambria" w:eastAsia="Cambria" w:hAnsi="Cambria" w:cs="Times New Roman"/>
          <w:sz w:val="22"/>
        </w:rPr>
        <w:t>okoliczności</w:t>
      </w:r>
      <w:proofErr w:type="gramEnd"/>
      <w:r w:rsidRPr="00792C71">
        <w:rPr>
          <w:rFonts w:ascii="Cambria" w:eastAsia="Cambria" w:hAnsi="Cambria" w:cs="Times New Roman"/>
          <w:sz w:val="22"/>
        </w:rPr>
        <w:t xml:space="preserve"> faktycznych i prawnych dotyczących charakteru prawnego sprawy (unijna lub krajowa) </w:t>
      </w:r>
    </w:p>
    <w:p w:rsidR="00792C71" w:rsidRPr="00792C71" w:rsidRDefault="00792C71" w:rsidP="00792C71">
      <w:pPr>
        <w:numPr>
          <w:ilvl w:val="0"/>
          <w:numId w:val="3"/>
        </w:numPr>
        <w:spacing w:before="0" w:beforeAutospacing="0" w:after="0" w:afterAutospacing="0" w:line="240" w:lineRule="auto"/>
        <w:contextualSpacing/>
        <w:jc w:val="both"/>
        <w:rPr>
          <w:rFonts w:ascii="Cambria" w:eastAsia="Cambria" w:hAnsi="Cambria" w:cs="Times New Roman"/>
          <w:sz w:val="22"/>
        </w:rPr>
      </w:pPr>
      <w:proofErr w:type="gramStart"/>
      <w:r w:rsidRPr="00792C71">
        <w:rPr>
          <w:rFonts w:ascii="Cambria" w:eastAsia="Cambria" w:hAnsi="Cambria" w:cs="Times New Roman"/>
          <w:sz w:val="22"/>
        </w:rPr>
        <w:t>ustalenia</w:t>
      </w:r>
      <w:proofErr w:type="gramEnd"/>
      <w:r w:rsidRPr="00792C71">
        <w:rPr>
          <w:rFonts w:ascii="Cambria" w:eastAsia="Cambria" w:hAnsi="Cambria" w:cs="Times New Roman"/>
          <w:sz w:val="22"/>
        </w:rPr>
        <w:t xml:space="preserve"> przepisu prawa unijnego doniosłego dla rozstrzygnięcia ( zasada bezpośredniego skutku)</w:t>
      </w:r>
    </w:p>
    <w:p w:rsidR="00792C71" w:rsidRPr="00792C71" w:rsidRDefault="00792C71" w:rsidP="00792C71">
      <w:pPr>
        <w:numPr>
          <w:ilvl w:val="0"/>
          <w:numId w:val="3"/>
        </w:numPr>
        <w:spacing w:before="0" w:beforeAutospacing="0" w:after="0" w:afterAutospacing="0" w:line="240" w:lineRule="auto"/>
        <w:contextualSpacing/>
        <w:jc w:val="both"/>
        <w:rPr>
          <w:rFonts w:ascii="Cambria" w:eastAsia="Cambria" w:hAnsi="Cambria" w:cs="Times New Roman"/>
          <w:sz w:val="22"/>
        </w:rPr>
      </w:pPr>
      <w:proofErr w:type="gramStart"/>
      <w:r w:rsidRPr="00792C71">
        <w:rPr>
          <w:rFonts w:ascii="Cambria" w:eastAsia="Cambria" w:hAnsi="Cambria" w:cs="Times New Roman"/>
          <w:sz w:val="22"/>
        </w:rPr>
        <w:t>określenia</w:t>
      </w:r>
      <w:proofErr w:type="gramEnd"/>
      <w:r w:rsidRPr="00792C71">
        <w:rPr>
          <w:rFonts w:ascii="Cambria" w:eastAsia="Cambria" w:hAnsi="Cambria" w:cs="Times New Roman"/>
          <w:sz w:val="22"/>
        </w:rPr>
        <w:t xml:space="preserve"> charakteru relacji między przepisem prawa UE a przepisem prawa polskiego ( zgodność́ lub niezgodność́) oraz ich konsekwencji ( substytucja lub wyłączenie) z koniecznością̨ usunięcia niezgodności w drodze wykładni zgodnej z prawem UE</w:t>
      </w:r>
    </w:p>
    <w:p w:rsidR="00792C71" w:rsidRPr="00792C71" w:rsidRDefault="00792C71" w:rsidP="00792C71">
      <w:pPr>
        <w:numPr>
          <w:ilvl w:val="0"/>
          <w:numId w:val="3"/>
        </w:numPr>
        <w:spacing w:before="0" w:beforeAutospacing="0" w:after="0" w:afterAutospacing="0" w:line="240" w:lineRule="auto"/>
        <w:contextualSpacing/>
        <w:jc w:val="both"/>
        <w:rPr>
          <w:rFonts w:ascii="Cambria" w:eastAsia="Cambria" w:hAnsi="Cambria" w:cs="Times New Roman"/>
          <w:sz w:val="22"/>
        </w:rPr>
      </w:pPr>
      <w:r w:rsidRPr="00792C71">
        <w:rPr>
          <w:rFonts w:ascii="Cambria" w:eastAsia="Cambria" w:hAnsi="Cambria" w:cs="Times New Roman"/>
          <w:sz w:val="22"/>
        </w:rPr>
        <w:t xml:space="preserve">rozważenie – w razie </w:t>
      </w:r>
      <w:proofErr w:type="gramStart"/>
      <w:r w:rsidRPr="00792C71">
        <w:rPr>
          <w:rFonts w:ascii="Cambria" w:eastAsia="Cambria" w:hAnsi="Cambria" w:cs="Times New Roman"/>
          <w:sz w:val="22"/>
        </w:rPr>
        <w:t>wątpliwości co</w:t>
      </w:r>
      <w:proofErr w:type="gramEnd"/>
      <w:r w:rsidRPr="00792C71">
        <w:rPr>
          <w:rFonts w:ascii="Cambria" w:eastAsia="Cambria" w:hAnsi="Cambria" w:cs="Times New Roman"/>
          <w:sz w:val="22"/>
        </w:rPr>
        <w:t xml:space="preserve"> do wykładni lub obowiązywania (ważności) prawa UE - zwrócenia się do TSUE z pytaniem ( art. 267). </w:t>
      </w:r>
    </w:p>
    <w:p w:rsidR="00792C71" w:rsidRPr="00792C71" w:rsidRDefault="00792C71" w:rsidP="00792C71">
      <w:pPr>
        <w:spacing w:before="0" w:beforeAutospacing="0" w:after="0" w:afterAutospacing="0" w:line="240" w:lineRule="auto"/>
        <w:ind w:firstLine="0"/>
        <w:rPr>
          <w:rFonts w:ascii="Cambria" w:eastAsia="MS Mincho" w:hAnsi="Cambria" w:cs="Times New Roman"/>
          <w:b/>
          <w:szCs w:val="24"/>
        </w:rPr>
      </w:pPr>
    </w:p>
    <w:p w:rsidR="00792C71" w:rsidRPr="00792C71" w:rsidRDefault="00792C71" w:rsidP="00792C71">
      <w:pPr>
        <w:spacing w:before="0" w:beforeAutospacing="0" w:after="0" w:afterAutospacing="0" w:line="240" w:lineRule="auto"/>
        <w:ind w:firstLine="0"/>
        <w:rPr>
          <w:rFonts w:ascii="Cambria" w:eastAsia="MS Mincho" w:hAnsi="Cambria" w:cs="Times New Roman"/>
          <w:b/>
          <w:szCs w:val="24"/>
        </w:rPr>
      </w:pPr>
    </w:p>
    <w:p w:rsidR="00792C71" w:rsidRPr="00792C71" w:rsidRDefault="00792C71" w:rsidP="00792C71">
      <w:pPr>
        <w:spacing w:before="0" w:beforeAutospacing="0" w:after="0" w:afterAutospacing="0" w:line="240" w:lineRule="auto"/>
        <w:ind w:firstLine="0"/>
        <w:rPr>
          <w:rFonts w:ascii="Cambria" w:eastAsia="MS Mincho" w:hAnsi="Cambria" w:cs="Times New Roman"/>
          <w:b/>
          <w:szCs w:val="24"/>
        </w:rPr>
      </w:pPr>
    </w:p>
    <w:p w:rsidR="00792C71" w:rsidRPr="00792C71" w:rsidRDefault="00792C71" w:rsidP="00792C71">
      <w:pPr>
        <w:spacing w:before="0" w:beforeAutospacing="0" w:after="0" w:afterAutospacing="0" w:line="240" w:lineRule="auto"/>
        <w:ind w:firstLine="0"/>
        <w:rPr>
          <w:rFonts w:ascii="Cambria" w:eastAsia="MS Mincho" w:hAnsi="Cambria" w:cs="Times New Roman"/>
          <w:b/>
          <w:szCs w:val="24"/>
        </w:rPr>
      </w:pPr>
      <w:r w:rsidRPr="00792C71">
        <w:rPr>
          <w:rFonts w:ascii="Cambria" w:eastAsia="MS Mincho" w:hAnsi="Cambria" w:cs="Times New Roman"/>
          <w:b/>
          <w:szCs w:val="24"/>
        </w:rPr>
        <w:t>2 temat - Stosowanie prawa Unii Europejskiej w wewnętrznym porządku prawnym – oznacza, że organ /sąd mają zastosować odpowiednio m.in.:</w:t>
      </w:r>
    </w:p>
    <w:p w:rsidR="00792C71" w:rsidRPr="00792C71" w:rsidRDefault="00792C71" w:rsidP="00792C71">
      <w:pPr>
        <w:numPr>
          <w:ilvl w:val="0"/>
          <w:numId w:val="4"/>
        </w:numPr>
        <w:spacing w:before="0" w:beforeAutospacing="0" w:after="0" w:afterAutospacing="0" w:line="240" w:lineRule="auto"/>
        <w:ind w:left="720"/>
        <w:contextualSpacing/>
        <w:jc w:val="both"/>
        <w:rPr>
          <w:rFonts w:ascii="Cambria" w:eastAsia="Cambria" w:hAnsi="Cambria" w:cs="Times New Roman"/>
          <w:sz w:val="22"/>
        </w:rPr>
      </w:pPr>
      <w:r w:rsidRPr="00792C71">
        <w:rPr>
          <w:rFonts w:ascii="Cambria" w:eastAsia="Cambria" w:hAnsi="Cambria" w:cs="Times New Roman"/>
          <w:sz w:val="22"/>
        </w:rPr>
        <w:t xml:space="preserve">Zasada pierwszeństwa prawa Unii Europejskiej w świetle orzecznictwa </w:t>
      </w:r>
      <w:proofErr w:type="gramStart"/>
      <w:r w:rsidRPr="00792C71">
        <w:rPr>
          <w:rFonts w:ascii="Cambria" w:eastAsia="Cambria" w:hAnsi="Cambria" w:cs="Times New Roman"/>
          <w:sz w:val="22"/>
        </w:rPr>
        <w:t>TSUE  i</w:t>
      </w:r>
      <w:proofErr w:type="gramEnd"/>
      <w:r w:rsidRPr="00792C71">
        <w:rPr>
          <w:rFonts w:ascii="Cambria" w:eastAsia="Cambria" w:hAnsi="Cambria" w:cs="Times New Roman"/>
          <w:sz w:val="22"/>
        </w:rPr>
        <w:t xml:space="preserve"> orzecznictwa sadów polskich</w:t>
      </w:r>
    </w:p>
    <w:p w:rsidR="00792C71" w:rsidRPr="00792C71" w:rsidRDefault="00792C71" w:rsidP="00792C71">
      <w:pPr>
        <w:numPr>
          <w:ilvl w:val="0"/>
          <w:numId w:val="4"/>
        </w:numPr>
        <w:spacing w:before="0" w:beforeAutospacing="0" w:after="0" w:afterAutospacing="0" w:line="240" w:lineRule="auto"/>
        <w:ind w:left="720"/>
        <w:contextualSpacing/>
        <w:jc w:val="both"/>
        <w:rPr>
          <w:rFonts w:ascii="Cambria" w:eastAsia="Cambria" w:hAnsi="Cambria" w:cs="Times New Roman"/>
          <w:sz w:val="22"/>
        </w:rPr>
      </w:pPr>
      <w:r w:rsidRPr="00792C71">
        <w:rPr>
          <w:rFonts w:ascii="Cambria" w:eastAsia="Cambria" w:hAnsi="Cambria" w:cs="Times New Roman"/>
          <w:sz w:val="22"/>
        </w:rPr>
        <w:t>Zasada skutku bezpośredniego w świetle orzecznictwa TSUE i orzecznictwa sądów polskich</w:t>
      </w:r>
    </w:p>
    <w:p w:rsidR="00792C71" w:rsidRDefault="00792C71" w:rsidP="00792C71">
      <w:pPr>
        <w:spacing w:before="0" w:beforeAutospacing="0" w:after="0" w:afterAutospacing="0" w:line="240" w:lineRule="auto"/>
        <w:ind w:left="927" w:firstLine="0"/>
        <w:contextualSpacing/>
        <w:jc w:val="both"/>
        <w:rPr>
          <w:rFonts w:ascii="Cambria" w:eastAsia="Cambria" w:hAnsi="Cambria" w:cs="Times New Roman"/>
          <w:sz w:val="22"/>
        </w:rPr>
      </w:pPr>
      <w:bookmarkStart w:id="0" w:name="_GoBack"/>
      <w:bookmarkEnd w:id="0"/>
    </w:p>
    <w:p w:rsidR="00792C71" w:rsidRPr="00792C71" w:rsidRDefault="00792C71" w:rsidP="00792C71">
      <w:pPr>
        <w:numPr>
          <w:ilvl w:val="0"/>
          <w:numId w:val="4"/>
        </w:numPr>
        <w:spacing w:before="0" w:beforeAutospacing="0" w:after="0" w:afterAutospacing="0" w:line="240" w:lineRule="auto"/>
        <w:ind w:left="720"/>
        <w:contextualSpacing/>
        <w:jc w:val="both"/>
        <w:rPr>
          <w:rFonts w:ascii="Cambria" w:eastAsia="Cambria" w:hAnsi="Cambria" w:cs="Times New Roman"/>
          <w:sz w:val="22"/>
        </w:rPr>
      </w:pPr>
      <w:r w:rsidRPr="00792C71">
        <w:rPr>
          <w:rFonts w:ascii="Cambria" w:eastAsia="Cambria" w:hAnsi="Cambria" w:cs="Times New Roman"/>
          <w:sz w:val="22"/>
        </w:rPr>
        <w:t xml:space="preserve">Pro-unijna wykładnia prawa krajowego w świetle orzecznictwa TSUE </w:t>
      </w:r>
      <w:proofErr w:type="gramStart"/>
      <w:r w:rsidRPr="00792C71">
        <w:rPr>
          <w:rFonts w:ascii="Cambria" w:eastAsia="Cambria" w:hAnsi="Cambria" w:cs="Times New Roman"/>
          <w:sz w:val="22"/>
        </w:rPr>
        <w:t>i  orzecznictwa</w:t>
      </w:r>
      <w:proofErr w:type="gramEnd"/>
      <w:r w:rsidRPr="00792C71">
        <w:rPr>
          <w:rFonts w:ascii="Cambria" w:eastAsia="Cambria" w:hAnsi="Cambria" w:cs="Times New Roman"/>
          <w:sz w:val="22"/>
        </w:rPr>
        <w:t xml:space="preserve"> sądów polskich</w:t>
      </w:r>
    </w:p>
    <w:p w:rsidR="00792C71" w:rsidRPr="00792C71" w:rsidRDefault="00792C71" w:rsidP="00792C71">
      <w:pPr>
        <w:numPr>
          <w:ilvl w:val="0"/>
          <w:numId w:val="4"/>
        </w:numPr>
        <w:spacing w:before="0" w:beforeAutospacing="0" w:after="0" w:afterAutospacing="0" w:line="240" w:lineRule="auto"/>
        <w:ind w:left="720"/>
        <w:contextualSpacing/>
        <w:jc w:val="both"/>
        <w:rPr>
          <w:rFonts w:ascii="Cambria" w:eastAsia="Cambria" w:hAnsi="Cambria" w:cs="Times New Roman"/>
          <w:sz w:val="22"/>
        </w:rPr>
      </w:pPr>
      <w:r w:rsidRPr="00792C71">
        <w:rPr>
          <w:rFonts w:ascii="Cambria" w:eastAsia="Cambria" w:hAnsi="Cambria" w:cs="Times New Roman"/>
          <w:sz w:val="22"/>
        </w:rPr>
        <w:t>Obowiązek zwrócenia się̨ z pytaniem prejudycjalnym do TSUE (</w:t>
      </w:r>
      <w:proofErr w:type="gramStart"/>
      <w:r w:rsidRPr="00792C71">
        <w:rPr>
          <w:rFonts w:ascii="Cambria" w:eastAsia="Cambria" w:hAnsi="Cambria" w:cs="Times New Roman"/>
          <w:sz w:val="22"/>
        </w:rPr>
        <w:t>art. 267  TFUE</w:t>
      </w:r>
      <w:proofErr w:type="gramEnd"/>
      <w:r w:rsidRPr="00792C71">
        <w:rPr>
          <w:rFonts w:ascii="Cambria" w:eastAsia="Cambria" w:hAnsi="Cambria" w:cs="Times New Roman"/>
          <w:sz w:val="22"/>
        </w:rPr>
        <w:t>) a odpowiedzialność państwa za krajowe organy sądowe – praktyka  sądów polskich</w:t>
      </w:r>
    </w:p>
    <w:p w:rsidR="00792C71" w:rsidRPr="00792C71" w:rsidRDefault="00792C71" w:rsidP="00792C71">
      <w:pPr>
        <w:numPr>
          <w:ilvl w:val="0"/>
          <w:numId w:val="4"/>
        </w:numPr>
        <w:spacing w:before="0" w:beforeAutospacing="0" w:after="0" w:afterAutospacing="0" w:line="240" w:lineRule="auto"/>
        <w:ind w:left="720"/>
        <w:contextualSpacing/>
        <w:jc w:val="both"/>
        <w:rPr>
          <w:rFonts w:ascii="Cambria" w:eastAsia="Cambria" w:hAnsi="Cambria" w:cs="Times New Roman"/>
          <w:sz w:val="22"/>
        </w:rPr>
      </w:pPr>
      <w:r w:rsidRPr="00792C71">
        <w:rPr>
          <w:rFonts w:ascii="Cambria" w:eastAsia="Cambria" w:hAnsi="Cambria" w:cs="Times New Roman"/>
          <w:sz w:val="22"/>
        </w:rPr>
        <w:t>Zasada autonomii proceduralnej i jej ograniczenia</w:t>
      </w:r>
    </w:p>
    <w:p w:rsidR="00792C71" w:rsidRPr="00792C71" w:rsidRDefault="00792C71" w:rsidP="00792C71">
      <w:pPr>
        <w:numPr>
          <w:ilvl w:val="1"/>
          <w:numId w:val="4"/>
        </w:numPr>
        <w:spacing w:before="0" w:beforeAutospacing="0" w:after="0" w:afterAutospacing="0" w:line="240" w:lineRule="auto"/>
        <w:contextualSpacing/>
        <w:jc w:val="both"/>
        <w:rPr>
          <w:rFonts w:ascii="Cambria" w:eastAsia="Cambria" w:hAnsi="Cambria" w:cs="Times New Roman"/>
          <w:sz w:val="22"/>
        </w:rPr>
      </w:pPr>
      <w:r w:rsidRPr="00792C71">
        <w:rPr>
          <w:rFonts w:ascii="Cambria" w:eastAsia="Cambria" w:hAnsi="Cambria" w:cs="Times New Roman"/>
          <w:sz w:val="22"/>
        </w:rPr>
        <w:t>Krajowe przepisy proceduralne i materialne podlegające zasadzie autonomii proceduralnej</w:t>
      </w:r>
    </w:p>
    <w:p w:rsidR="00792C71" w:rsidRPr="00792C71" w:rsidRDefault="00792C71" w:rsidP="00792C71">
      <w:pPr>
        <w:numPr>
          <w:ilvl w:val="1"/>
          <w:numId w:val="4"/>
        </w:numPr>
        <w:spacing w:before="0" w:beforeAutospacing="0" w:after="0" w:afterAutospacing="0" w:line="240" w:lineRule="auto"/>
        <w:contextualSpacing/>
        <w:jc w:val="both"/>
        <w:rPr>
          <w:rFonts w:ascii="Cambria" w:eastAsia="Cambria" w:hAnsi="Cambria" w:cs="Times New Roman"/>
          <w:sz w:val="22"/>
        </w:rPr>
      </w:pPr>
      <w:r w:rsidRPr="00792C71">
        <w:rPr>
          <w:rFonts w:ascii="Cambria" w:eastAsia="Cambria" w:hAnsi="Cambria" w:cs="Times New Roman"/>
          <w:sz w:val="22"/>
        </w:rPr>
        <w:t>Ograniczenia autonomii proceduralnej</w:t>
      </w:r>
    </w:p>
    <w:p w:rsidR="00792C71" w:rsidRPr="00792C71" w:rsidRDefault="00792C71" w:rsidP="00792C71">
      <w:pPr>
        <w:numPr>
          <w:ilvl w:val="0"/>
          <w:numId w:val="4"/>
        </w:numPr>
        <w:spacing w:before="0" w:beforeAutospacing="0" w:after="0" w:afterAutospacing="0" w:line="240" w:lineRule="auto"/>
        <w:ind w:left="720"/>
        <w:contextualSpacing/>
        <w:jc w:val="both"/>
        <w:rPr>
          <w:rFonts w:ascii="Cambria" w:eastAsia="Cambria" w:hAnsi="Cambria" w:cs="Times New Roman"/>
          <w:sz w:val="22"/>
        </w:rPr>
      </w:pPr>
      <w:r w:rsidRPr="00792C71">
        <w:rPr>
          <w:rFonts w:ascii="Cambria" w:eastAsia="Cambria" w:hAnsi="Cambria" w:cs="Times New Roman"/>
          <w:sz w:val="22"/>
        </w:rPr>
        <w:t>Zasada lojalności współpracy (art. 4 ust. 3 TUE).</w:t>
      </w:r>
    </w:p>
    <w:p w:rsidR="00792C71" w:rsidRPr="00792C71" w:rsidRDefault="00792C71" w:rsidP="00792C71">
      <w:pPr>
        <w:numPr>
          <w:ilvl w:val="0"/>
          <w:numId w:val="4"/>
        </w:numPr>
        <w:spacing w:before="0" w:beforeAutospacing="0" w:after="0" w:afterAutospacing="0" w:line="240" w:lineRule="auto"/>
        <w:ind w:left="720"/>
        <w:contextualSpacing/>
        <w:jc w:val="both"/>
        <w:rPr>
          <w:rFonts w:ascii="Cambria" w:eastAsia="Cambria" w:hAnsi="Cambria" w:cs="Times New Roman"/>
          <w:sz w:val="22"/>
        </w:rPr>
      </w:pPr>
      <w:r w:rsidRPr="00792C71">
        <w:rPr>
          <w:rFonts w:ascii="Cambria" w:eastAsia="Cambria" w:hAnsi="Cambria" w:cs="Times New Roman"/>
          <w:sz w:val="22"/>
        </w:rPr>
        <w:t>Zasada skuteczności prawa UE i równoważności/ekwiwalencji</w:t>
      </w:r>
      <w:r w:rsidRPr="00792C71">
        <w:rPr>
          <w:rFonts w:ascii="MS Mincho" w:eastAsia="MS Mincho" w:hAnsi="MS Mincho" w:cs="MS Mincho"/>
          <w:sz w:val="22"/>
        </w:rPr>
        <w:t> </w:t>
      </w:r>
    </w:p>
    <w:p w:rsidR="00792C71" w:rsidRPr="00792C71" w:rsidRDefault="00792C71" w:rsidP="00792C71">
      <w:pPr>
        <w:numPr>
          <w:ilvl w:val="0"/>
          <w:numId w:val="4"/>
        </w:numPr>
        <w:spacing w:before="0" w:beforeAutospacing="0" w:after="0" w:afterAutospacing="0" w:line="240" w:lineRule="auto"/>
        <w:ind w:left="720"/>
        <w:contextualSpacing/>
        <w:jc w:val="both"/>
        <w:rPr>
          <w:rFonts w:ascii="Cambria" w:eastAsia="Cambria" w:hAnsi="Cambria" w:cs="Times New Roman"/>
          <w:sz w:val="22"/>
        </w:rPr>
      </w:pPr>
      <w:r w:rsidRPr="00792C71">
        <w:rPr>
          <w:rFonts w:ascii="Cambria" w:eastAsia="Cambria" w:hAnsi="Cambria" w:cs="Times New Roman"/>
          <w:sz w:val="22"/>
        </w:rPr>
        <w:t>Polska praktyka stosowania prawa Unii Europejskiej</w:t>
      </w:r>
    </w:p>
    <w:p w:rsidR="00792C71" w:rsidRPr="00792C71" w:rsidRDefault="00792C71" w:rsidP="00792C71">
      <w:pPr>
        <w:numPr>
          <w:ilvl w:val="1"/>
          <w:numId w:val="4"/>
        </w:numPr>
        <w:spacing w:before="0" w:beforeAutospacing="0" w:after="0" w:afterAutospacing="0" w:line="240" w:lineRule="auto"/>
        <w:contextualSpacing/>
        <w:jc w:val="both"/>
        <w:rPr>
          <w:rFonts w:ascii="Cambria" w:eastAsia="Cambria" w:hAnsi="Cambria" w:cs="Times New Roman"/>
          <w:sz w:val="22"/>
        </w:rPr>
      </w:pPr>
      <w:r w:rsidRPr="00792C71">
        <w:rPr>
          <w:rFonts w:ascii="Cambria" w:eastAsia="Cambria" w:hAnsi="Cambria" w:cs="Times New Roman"/>
          <w:sz w:val="22"/>
        </w:rPr>
        <w:t xml:space="preserve">Naczelny </w:t>
      </w:r>
      <w:proofErr w:type="gramStart"/>
      <w:r w:rsidRPr="00792C71">
        <w:rPr>
          <w:rFonts w:ascii="Cambria" w:eastAsia="Cambria" w:hAnsi="Cambria" w:cs="Times New Roman"/>
          <w:sz w:val="22"/>
        </w:rPr>
        <w:t>Sąd  Administracyjny</w:t>
      </w:r>
      <w:proofErr w:type="gramEnd"/>
      <w:r w:rsidRPr="00792C71">
        <w:rPr>
          <w:rFonts w:ascii="Cambria" w:eastAsia="Cambria" w:hAnsi="Cambria" w:cs="Times New Roman"/>
          <w:sz w:val="22"/>
        </w:rPr>
        <w:t xml:space="preserve"> oraz wojewódzkie sądy administracyjne - wybrane przykłady</w:t>
      </w:r>
    </w:p>
    <w:p w:rsidR="00792C71" w:rsidRPr="00792C71" w:rsidRDefault="00792C71" w:rsidP="00792C71">
      <w:pPr>
        <w:spacing w:before="0" w:beforeAutospacing="0" w:after="0" w:afterAutospacing="0" w:line="240" w:lineRule="auto"/>
        <w:ind w:firstLine="0"/>
        <w:rPr>
          <w:rFonts w:ascii="Cambria" w:eastAsia="MS Mincho" w:hAnsi="Cambria" w:cs="Times New Roman"/>
          <w:b/>
          <w:szCs w:val="24"/>
        </w:rPr>
      </w:pPr>
    </w:p>
    <w:p w:rsidR="00792C71" w:rsidRPr="00792C71" w:rsidRDefault="00792C71" w:rsidP="00792C71">
      <w:pPr>
        <w:spacing w:before="0" w:beforeAutospacing="0" w:after="0" w:afterAutospacing="0" w:line="240" w:lineRule="auto"/>
        <w:ind w:firstLine="0"/>
        <w:rPr>
          <w:rFonts w:ascii="Cambria" w:eastAsia="MS Mincho" w:hAnsi="Cambria" w:cs="Times New Roman"/>
          <w:b/>
          <w:szCs w:val="24"/>
        </w:rPr>
      </w:pPr>
      <w:r w:rsidRPr="00792C71">
        <w:rPr>
          <w:rFonts w:ascii="Cambria" w:eastAsia="MS Mincho" w:hAnsi="Cambria" w:cs="Times New Roman"/>
          <w:b/>
          <w:szCs w:val="24"/>
        </w:rPr>
        <w:t xml:space="preserve">3 temat - Skutki nie zastosowania prawa UE przez sąd /organ adm. / organ państwa </w:t>
      </w:r>
      <w:r w:rsidRPr="00792C71">
        <w:rPr>
          <w:rFonts w:ascii="MS Mincho" w:eastAsia="MS Mincho" w:hAnsi="MS Mincho" w:cs="MS Mincho"/>
          <w:b/>
          <w:szCs w:val="24"/>
        </w:rPr>
        <w:t> </w:t>
      </w:r>
    </w:p>
    <w:p w:rsidR="00792C71" w:rsidRPr="00792C71" w:rsidRDefault="00792C71" w:rsidP="00792C71">
      <w:pPr>
        <w:numPr>
          <w:ilvl w:val="1"/>
          <w:numId w:val="4"/>
        </w:numPr>
        <w:spacing w:before="0" w:beforeAutospacing="0" w:after="0" w:afterAutospacing="0" w:line="240" w:lineRule="auto"/>
        <w:contextualSpacing/>
        <w:jc w:val="both"/>
        <w:rPr>
          <w:rFonts w:ascii="Cambria" w:eastAsia="Cambria" w:hAnsi="Cambria" w:cs="Times New Roman"/>
          <w:sz w:val="22"/>
        </w:rPr>
      </w:pPr>
      <w:r w:rsidRPr="00792C71">
        <w:rPr>
          <w:rFonts w:ascii="Cambria" w:eastAsia="Cambria" w:hAnsi="Cambria" w:cs="Times New Roman"/>
          <w:sz w:val="22"/>
        </w:rPr>
        <w:t xml:space="preserve">Zasada odpowiedzialności odszkodowawczej państwa wobec jednostki za złamanie prawa UE </w:t>
      </w:r>
    </w:p>
    <w:p w:rsidR="00792C71" w:rsidRPr="00792C71" w:rsidRDefault="00792C71" w:rsidP="00792C71">
      <w:pPr>
        <w:spacing w:before="0" w:beforeAutospacing="0" w:after="0" w:afterAutospacing="0" w:line="240" w:lineRule="auto"/>
        <w:ind w:left="1440" w:firstLine="0"/>
        <w:contextualSpacing/>
        <w:jc w:val="both"/>
        <w:rPr>
          <w:rFonts w:ascii="Cambria" w:eastAsia="Cambria" w:hAnsi="Cambria" w:cs="Times New Roman"/>
          <w:sz w:val="22"/>
        </w:rPr>
      </w:pPr>
    </w:p>
    <w:p w:rsidR="00792C71" w:rsidRPr="00792C71" w:rsidRDefault="00792C71" w:rsidP="00792C71">
      <w:pPr>
        <w:spacing w:before="0" w:beforeAutospacing="0" w:after="0" w:afterAutospacing="0" w:line="240" w:lineRule="auto"/>
        <w:ind w:firstLine="0"/>
        <w:rPr>
          <w:rFonts w:ascii="Cambria" w:eastAsia="MS Mincho" w:hAnsi="Cambria" w:cs="Times New Roman"/>
          <w:b/>
          <w:szCs w:val="24"/>
        </w:rPr>
      </w:pPr>
      <w:r w:rsidRPr="00792C71">
        <w:rPr>
          <w:rFonts w:ascii="Cambria" w:eastAsia="MS Mincho" w:hAnsi="Cambria" w:cs="Times New Roman"/>
          <w:b/>
          <w:szCs w:val="24"/>
        </w:rPr>
        <w:t xml:space="preserve">Najważniejsze – temat 4 - Obowiązki unijne sądu i organu administracyjnego – </w:t>
      </w:r>
      <w:proofErr w:type="spellStart"/>
      <w:r w:rsidRPr="00792C71">
        <w:rPr>
          <w:rFonts w:ascii="Cambria" w:eastAsia="MS Mincho" w:hAnsi="Cambria" w:cs="Times New Roman"/>
          <w:b/>
          <w:szCs w:val="24"/>
        </w:rPr>
        <w:t>case</w:t>
      </w:r>
      <w:proofErr w:type="spellEnd"/>
      <w:r w:rsidRPr="00792C71">
        <w:rPr>
          <w:rFonts w:ascii="Cambria" w:eastAsia="MS Mincho" w:hAnsi="Cambria" w:cs="Times New Roman"/>
          <w:b/>
          <w:szCs w:val="24"/>
        </w:rPr>
        <w:t xml:space="preserve"> </w:t>
      </w:r>
      <w:proofErr w:type="spellStart"/>
      <w:r w:rsidRPr="00792C71">
        <w:rPr>
          <w:rFonts w:ascii="Cambria" w:eastAsia="MS Mincho" w:hAnsi="Cambria" w:cs="Times New Roman"/>
          <w:b/>
          <w:szCs w:val="24"/>
        </w:rPr>
        <w:t>study</w:t>
      </w:r>
      <w:proofErr w:type="spellEnd"/>
    </w:p>
    <w:p w:rsidR="00792C71" w:rsidRPr="00792C71" w:rsidRDefault="00792C71" w:rsidP="00792C71">
      <w:pPr>
        <w:spacing w:before="0" w:beforeAutospacing="0" w:after="0" w:afterAutospacing="0" w:line="240" w:lineRule="auto"/>
        <w:ind w:firstLine="0"/>
        <w:rPr>
          <w:rFonts w:ascii="Cambria" w:eastAsia="MS Mincho" w:hAnsi="Cambria" w:cs="Times New Roman"/>
          <w:b/>
          <w:szCs w:val="24"/>
        </w:rPr>
      </w:pPr>
    </w:p>
    <w:p w:rsidR="00792C71" w:rsidRPr="00792C71" w:rsidRDefault="00792C71" w:rsidP="00792C7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240" w:afterAutospacing="0" w:line="240" w:lineRule="auto"/>
        <w:rPr>
          <w:rFonts w:ascii="Times" w:eastAsia="Arial Unicode MS" w:hAnsi="Times" w:cs="Times"/>
          <w:sz w:val="22"/>
          <w:szCs w:val="24"/>
        </w:rPr>
      </w:pPr>
      <w:proofErr w:type="gramStart"/>
      <w:r w:rsidRPr="00792C71">
        <w:rPr>
          <w:rFonts w:ascii="Cambria" w:eastAsia="MS Mincho" w:hAnsi="Cambria" w:cs="Times New Roman"/>
          <w:sz w:val="22"/>
          <w:szCs w:val="24"/>
        </w:rPr>
        <w:t>wyrok</w:t>
      </w:r>
      <w:proofErr w:type="gramEnd"/>
      <w:r w:rsidRPr="00792C71">
        <w:rPr>
          <w:rFonts w:ascii="Cambria" w:eastAsia="MS Mincho" w:hAnsi="Cambria" w:cs="Times New Roman"/>
          <w:sz w:val="22"/>
          <w:szCs w:val="24"/>
        </w:rPr>
        <w:t xml:space="preserve"> TSUE z dnia 20 marca 2014 r. w sprawach C-639/11 Komisja przeciwko Polsce oraz C-61/12 Komisja przeciwko Litwie (sprawa rejestracji samochodów z </w:t>
      </w:r>
      <w:r w:rsidRPr="00792C71">
        <w:rPr>
          <w:rFonts w:ascii="MS Mincho" w:eastAsia="MS Mincho" w:hAnsi="MS Mincho" w:cs="MS Mincho" w:hint="eastAsia"/>
          <w:sz w:val="22"/>
          <w:szCs w:val="24"/>
        </w:rPr>
        <w:t> </w:t>
      </w:r>
      <w:r w:rsidRPr="00792C71">
        <w:rPr>
          <w:rFonts w:ascii="Cambria" w:eastAsia="MS Mincho" w:hAnsi="Cambria" w:cs="Times New Roman"/>
          <w:sz w:val="22"/>
          <w:szCs w:val="24"/>
        </w:rPr>
        <w:t>uk</w:t>
      </w:r>
      <w:r w:rsidRPr="00792C71">
        <w:rPr>
          <w:rFonts w:ascii="Cambria" w:eastAsia="MS Mincho" w:hAnsi="Cambria" w:cs="Cambria"/>
          <w:sz w:val="22"/>
          <w:szCs w:val="24"/>
        </w:rPr>
        <w:t>ł</w:t>
      </w:r>
      <w:r w:rsidRPr="00792C71">
        <w:rPr>
          <w:rFonts w:ascii="Cambria" w:eastAsia="MS Mincho" w:hAnsi="Cambria" w:cs="Times New Roman"/>
          <w:sz w:val="22"/>
          <w:szCs w:val="24"/>
        </w:rPr>
        <w:t>adem kierowniczym po prawej stronie)</w:t>
      </w:r>
    </w:p>
    <w:p w:rsidR="00792C71" w:rsidRPr="00792C71" w:rsidRDefault="00792C71" w:rsidP="00792C7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240" w:afterAutospacing="0" w:line="240" w:lineRule="auto"/>
        <w:rPr>
          <w:rFonts w:ascii="Times" w:eastAsia="Arial Unicode MS" w:hAnsi="Times" w:cs="Times"/>
          <w:sz w:val="22"/>
          <w:szCs w:val="24"/>
        </w:rPr>
      </w:pPr>
      <w:proofErr w:type="gramStart"/>
      <w:r w:rsidRPr="00792C71">
        <w:rPr>
          <w:rFonts w:ascii="Cambria" w:eastAsia="MS Mincho" w:hAnsi="Cambria" w:cs="Times New Roman"/>
          <w:sz w:val="22"/>
          <w:szCs w:val="24"/>
        </w:rPr>
        <w:t>brak</w:t>
      </w:r>
      <w:proofErr w:type="gramEnd"/>
      <w:r w:rsidRPr="00792C71">
        <w:rPr>
          <w:rFonts w:ascii="Cambria" w:eastAsia="MS Mincho" w:hAnsi="Cambria" w:cs="Times New Roman"/>
          <w:sz w:val="22"/>
          <w:szCs w:val="24"/>
        </w:rPr>
        <w:t xml:space="preserve"> notyfikacji przepisów technicznych - stanowisko TSUE w wyroku z dnia 19 lipca 2012 r. w sprawach C-213/11, C-214/11 i C-217/11 Fortuna Sp. z o.</w:t>
      </w:r>
      <w:proofErr w:type="gramStart"/>
      <w:r w:rsidRPr="00792C71">
        <w:rPr>
          <w:rFonts w:ascii="Cambria" w:eastAsia="MS Mincho" w:hAnsi="Cambria" w:cs="Times New Roman"/>
          <w:sz w:val="22"/>
          <w:szCs w:val="24"/>
        </w:rPr>
        <w:t>o</w:t>
      </w:r>
      <w:proofErr w:type="gramEnd"/>
      <w:r w:rsidRPr="00792C71">
        <w:rPr>
          <w:rFonts w:ascii="Cambria" w:eastAsia="MS Mincho" w:hAnsi="Cambria" w:cs="Times New Roman"/>
          <w:sz w:val="22"/>
          <w:szCs w:val="24"/>
        </w:rPr>
        <w:t xml:space="preserve">., </w:t>
      </w:r>
      <w:proofErr w:type="gramStart"/>
      <w:r w:rsidRPr="00792C71">
        <w:rPr>
          <w:rFonts w:ascii="Cambria" w:eastAsia="MS Mincho" w:hAnsi="Cambria" w:cs="Times New Roman"/>
          <w:sz w:val="22"/>
          <w:szCs w:val="24"/>
        </w:rPr>
        <w:t>Grand</w:t>
      </w:r>
      <w:proofErr w:type="gramEnd"/>
      <w:r w:rsidRPr="00792C71">
        <w:rPr>
          <w:rFonts w:ascii="Cambria" w:eastAsia="MS Mincho" w:hAnsi="Cambria" w:cs="Times New Roman"/>
          <w:sz w:val="22"/>
          <w:szCs w:val="24"/>
        </w:rPr>
        <w:t xml:space="preserve"> Sp. z o.</w:t>
      </w:r>
      <w:proofErr w:type="gramStart"/>
      <w:r w:rsidRPr="00792C71">
        <w:rPr>
          <w:rFonts w:ascii="Cambria" w:eastAsia="MS Mincho" w:hAnsi="Cambria" w:cs="Times New Roman"/>
          <w:sz w:val="22"/>
          <w:szCs w:val="24"/>
        </w:rPr>
        <w:t>o</w:t>
      </w:r>
      <w:proofErr w:type="gramEnd"/>
      <w:r w:rsidRPr="00792C71">
        <w:rPr>
          <w:rFonts w:ascii="Cambria" w:eastAsia="MS Mincho" w:hAnsi="Cambria" w:cs="Times New Roman"/>
          <w:sz w:val="22"/>
          <w:szCs w:val="24"/>
        </w:rPr>
        <w:t xml:space="preserve">. </w:t>
      </w:r>
      <w:proofErr w:type="gramStart"/>
      <w:r w:rsidRPr="00792C71">
        <w:rPr>
          <w:rFonts w:ascii="Cambria" w:eastAsia="MS Mincho" w:hAnsi="Cambria" w:cs="Times New Roman"/>
          <w:sz w:val="22"/>
          <w:szCs w:val="24"/>
        </w:rPr>
        <w:t>i</w:t>
      </w:r>
      <w:proofErr w:type="gramEnd"/>
      <w:r w:rsidRPr="00792C71">
        <w:rPr>
          <w:rFonts w:ascii="Cambria" w:eastAsia="MS Mincho" w:hAnsi="Cambria" w:cs="Times New Roman"/>
          <w:sz w:val="22"/>
          <w:szCs w:val="24"/>
        </w:rPr>
        <w:t xml:space="preserve"> Forta Sp. z </w:t>
      </w:r>
      <w:proofErr w:type="spellStart"/>
      <w:r w:rsidRPr="00792C71">
        <w:rPr>
          <w:rFonts w:ascii="Cambria" w:eastAsia="MS Mincho" w:hAnsi="Cambria" w:cs="Times New Roman"/>
          <w:sz w:val="22"/>
          <w:szCs w:val="24"/>
        </w:rPr>
        <w:t>o.</w:t>
      </w:r>
      <w:proofErr w:type="gramStart"/>
      <w:r w:rsidRPr="00792C71">
        <w:rPr>
          <w:rFonts w:ascii="Cambria" w:eastAsia="MS Mincho" w:hAnsi="Cambria" w:cs="Times New Roman"/>
          <w:sz w:val="22"/>
          <w:szCs w:val="24"/>
        </w:rPr>
        <w:t>o</w:t>
      </w:r>
      <w:proofErr w:type="spellEnd"/>
      <w:proofErr w:type="gramEnd"/>
      <w:r w:rsidRPr="00792C71">
        <w:rPr>
          <w:rFonts w:ascii="Cambria" w:eastAsia="MS Mincho" w:hAnsi="Cambria" w:cs="Times New Roman"/>
          <w:sz w:val="22"/>
          <w:szCs w:val="24"/>
        </w:rPr>
        <w:t xml:space="preserve"> i relewantne orzeczenia sądów polskich m.in. por. wyroki Naczelnego Sądu Administracyjnego z dnia 7 września 2012 r., </w:t>
      </w:r>
      <w:proofErr w:type="spellStart"/>
      <w:r w:rsidRPr="00792C71">
        <w:rPr>
          <w:rFonts w:ascii="Cambria" w:eastAsia="MS Mincho" w:hAnsi="Cambria" w:cs="Times New Roman"/>
          <w:sz w:val="22"/>
          <w:szCs w:val="24"/>
        </w:rPr>
        <w:t>syg</w:t>
      </w:r>
      <w:proofErr w:type="spellEnd"/>
      <w:r w:rsidRPr="00792C71">
        <w:rPr>
          <w:rFonts w:ascii="Cambria" w:eastAsia="MS Mincho" w:hAnsi="Cambria" w:cs="Times New Roman"/>
          <w:sz w:val="22"/>
          <w:szCs w:val="24"/>
        </w:rPr>
        <w:t xml:space="preserve">. </w:t>
      </w:r>
      <w:proofErr w:type="gramStart"/>
      <w:r w:rsidRPr="00792C71">
        <w:rPr>
          <w:rFonts w:ascii="Cambria" w:eastAsia="MS Mincho" w:hAnsi="Cambria" w:cs="Times New Roman"/>
          <w:sz w:val="22"/>
          <w:szCs w:val="24"/>
        </w:rPr>
        <w:t>akt</w:t>
      </w:r>
      <w:proofErr w:type="gramEnd"/>
      <w:r w:rsidRPr="00792C71">
        <w:rPr>
          <w:rFonts w:ascii="Cambria" w:eastAsia="MS Mincho" w:hAnsi="Cambria" w:cs="Times New Roman"/>
          <w:sz w:val="22"/>
          <w:szCs w:val="24"/>
        </w:rPr>
        <w:t xml:space="preserve"> II GSK 185/12; z dnia 25 września 2013 r., II GSK 760/11). </w:t>
      </w:r>
    </w:p>
    <w:p w:rsidR="00792C71" w:rsidRPr="00792C71" w:rsidRDefault="00792C71" w:rsidP="00792C7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240" w:afterAutospacing="0" w:line="240" w:lineRule="auto"/>
        <w:rPr>
          <w:rFonts w:ascii="Times" w:eastAsia="Arial Unicode MS" w:hAnsi="Times" w:cs="Times"/>
          <w:sz w:val="22"/>
          <w:szCs w:val="24"/>
        </w:rPr>
      </w:pPr>
      <w:r w:rsidRPr="00792C71">
        <w:rPr>
          <w:rFonts w:ascii="Cambria" w:eastAsia="MS Mincho" w:hAnsi="Cambria" w:cs="Times New Roman"/>
          <w:sz w:val="22"/>
          <w:szCs w:val="24"/>
        </w:rPr>
        <w:t>Zakaz sprzedaży napojów alkoholowych za pośrednictwem Internetu – wyroki WSA w Łodzi z dnia 19 listopada 2009 r., III SA/</w:t>
      </w:r>
      <w:proofErr w:type="spellStart"/>
      <w:r w:rsidRPr="00792C71">
        <w:rPr>
          <w:rFonts w:ascii="Cambria" w:eastAsia="MS Mincho" w:hAnsi="Cambria" w:cs="Times New Roman"/>
          <w:sz w:val="22"/>
          <w:szCs w:val="24"/>
        </w:rPr>
        <w:t>Łd</w:t>
      </w:r>
      <w:proofErr w:type="spellEnd"/>
      <w:r w:rsidRPr="00792C71">
        <w:rPr>
          <w:rFonts w:ascii="Cambria" w:eastAsia="MS Mincho" w:hAnsi="Cambria" w:cs="Times New Roman"/>
          <w:sz w:val="22"/>
          <w:szCs w:val="24"/>
        </w:rPr>
        <w:t xml:space="preserve"> 381/09; wyrok NSA z dnia 14 kwietnia 2011 r., II GSK 431/10; wyrok WSA we Wrocławiu z dnia 23 października 2013 r., III SA/</w:t>
      </w:r>
      <w:proofErr w:type="spellStart"/>
      <w:r w:rsidRPr="00792C71">
        <w:rPr>
          <w:rFonts w:ascii="Cambria" w:eastAsia="MS Mincho" w:hAnsi="Cambria" w:cs="Times New Roman"/>
          <w:sz w:val="22"/>
          <w:szCs w:val="24"/>
        </w:rPr>
        <w:t>Wr</w:t>
      </w:r>
      <w:proofErr w:type="spellEnd"/>
      <w:r w:rsidRPr="00792C71">
        <w:rPr>
          <w:rFonts w:ascii="Cambria" w:eastAsia="MS Mincho" w:hAnsi="Cambria" w:cs="Times New Roman"/>
          <w:sz w:val="22"/>
          <w:szCs w:val="24"/>
        </w:rPr>
        <w:t xml:space="preserve"> 520/1 – harmonizacja unijna – zasady handlu wewnątrz UE </w:t>
      </w:r>
    </w:p>
    <w:p w:rsidR="00792C71" w:rsidRPr="00792C71" w:rsidRDefault="00792C71" w:rsidP="00792C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240" w:afterAutospacing="0" w:line="240" w:lineRule="auto"/>
        <w:ind w:firstLine="0"/>
        <w:rPr>
          <w:rFonts w:ascii="Times" w:eastAsia="Arial Unicode MS" w:hAnsi="Times" w:cs="Times"/>
          <w:szCs w:val="24"/>
        </w:rPr>
      </w:pPr>
    </w:p>
    <w:p w:rsidR="00792C71" w:rsidRPr="00792C71" w:rsidRDefault="00792C71" w:rsidP="00792C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beforeAutospacing="0" w:after="240" w:afterAutospacing="0" w:line="240" w:lineRule="auto"/>
        <w:ind w:firstLine="0"/>
        <w:rPr>
          <w:rFonts w:ascii="Times" w:eastAsia="Arial Unicode MS" w:hAnsi="Times" w:cs="Times"/>
          <w:sz w:val="18"/>
          <w:szCs w:val="24"/>
        </w:rPr>
      </w:pPr>
    </w:p>
    <w:p w:rsidR="00792C71" w:rsidRPr="00792C71" w:rsidRDefault="00792C71" w:rsidP="00792C71">
      <w:pPr>
        <w:spacing w:before="0" w:beforeAutospacing="0" w:after="0" w:afterAutospacing="0" w:line="240" w:lineRule="auto"/>
        <w:ind w:firstLine="0"/>
        <w:rPr>
          <w:rFonts w:ascii="Cambria" w:eastAsia="MS Mincho" w:hAnsi="Cambria" w:cs="Times New Roman"/>
          <w:szCs w:val="24"/>
        </w:rPr>
      </w:pPr>
    </w:p>
    <w:p w:rsidR="00391FD0" w:rsidRDefault="00391FD0"/>
    <w:sectPr w:rsidR="00391F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2A" w:rsidRDefault="00A5542A" w:rsidP="00792C71">
      <w:pPr>
        <w:spacing w:before="0" w:after="0" w:line="240" w:lineRule="auto"/>
      </w:pPr>
      <w:r>
        <w:separator/>
      </w:r>
    </w:p>
  </w:endnote>
  <w:endnote w:type="continuationSeparator" w:id="0">
    <w:p w:rsidR="00A5542A" w:rsidRDefault="00A5542A" w:rsidP="00792C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2A" w:rsidRDefault="00A5542A" w:rsidP="00792C71">
      <w:pPr>
        <w:spacing w:before="0" w:after="0" w:line="240" w:lineRule="auto"/>
      </w:pPr>
      <w:r>
        <w:separator/>
      </w:r>
    </w:p>
  </w:footnote>
  <w:footnote w:type="continuationSeparator" w:id="0">
    <w:p w:rsidR="00A5542A" w:rsidRDefault="00A5542A" w:rsidP="00792C7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71" w:rsidRDefault="00792C71" w:rsidP="00792C71">
    <w:pPr>
      <w:pStyle w:val="Nagwek"/>
    </w:pPr>
    <w:r>
      <w:t xml:space="preserve">Prof. Robert Grzeszczak – draft tekstu referat </w:t>
    </w:r>
  </w:p>
  <w:p w:rsidR="00792C71" w:rsidRDefault="00792C71" w:rsidP="00792C71">
    <w:pPr>
      <w:pStyle w:val="Nagwek"/>
    </w:pPr>
  </w:p>
  <w:p w:rsidR="00792C71" w:rsidRDefault="00792C71" w:rsidP="00792C71">
    <w:pPr>
      <w:pStyle w:val="Nagwek"/>
    </w:pPr>
    <w:r>
      <w:t xml:space="preserve">Prawo UE w orzecznictwie sądów konstytucyjnych i administracyjnych oraz administracji publicznej państw </w:t>
    </w:r>
    <w:proofErr w:type="gramStart"/>
    <w:r>
      <w:t>członkowskich  - Kraków</w:t>
    </w:r>
    <w:proofErr w:type="gramEnd"/>
    <w:r>
      <w:t xml:space="preserve"> 18-19.2017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0E38"/>
    <w:multiLevelType w:val="hybridMultilevel"/>
    <w:tmpl w:val="569AA6EE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40C31"/>
    <w:multiLevelType w:val="hybridMultilevel"/>
    <w:tmpl w:val="A73C1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36127"/>
    <w:multiLevelType w:val="hybridMultilevel"/>
    <w:tmpl w:val="50762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E634A"/>
    <w:multiLevelType w:val="hybridMultilevel"/>
    <w:tmpl w:val="A4D050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7E40A8"/>
    <w:multiLevelType w:val="hybridMultilevel"/>
    <w:tmpl w:val="2A626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71"/>
    <w:rsid w:val="00391FD0"/>
    <w:rsid w:val="00792C71"/>
    <w:rsid w:val="00A5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beforeAutospacing="1" w:after="100" w:afterAutospacing="1"/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2C71"/>
    <w:pPr>
      <w:spacing w:line="240" w:lineRule="auto"/>
    </w:pPr>
    <w:rPr>
      <w:rFonts w:ascii="Calibri" w:eastAsia="Calibri" w:hAnsi="Calibri" w:cs="Arial"/>
      <w:sz w:val="22"/>
    </w:rPr>
  </w:style>
  <w:style w:type="paragraph" w:styleId="Nagwek">
    <w:name w:val="header"/>
    <w:basedOn w:val="Normalny"/>
    <w:link w:val="NagwekZnak"/>
    <w:uiPriority w:val="99"/>
    <w:unhideWhenUsed/>
    <w:rsid w:val="00792C71"/>
    <w:pPr>
      <w:tabs>
        <w:tab w:val="center" w:pos="4153"/>
        <w:tab w:val="right" w:pos="8306"/>
      </w:tabs>
      <w:spacing w:before="0" w:beforeAutospacing="0" w:after="0" w:afterAutospacing="0" w:line="240" w:lineRule="auto"/>
      <w:ind w:firstLine="0"/>
    </w:pPr>
    <w:rPr>
      <w:rFonts w:asciiTheme="minorHAnsi" w:eastAsiaTheme="minorEastAsia" w:hAnsiTheme="minorHAnsi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92C71"/>
    <w:rPr>
      <w:rFonts w:asciiTheme="minorHAnsi" w:eastAsiaTheme="minorEastAsia" w:hAnsiTheme="minorHAns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7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7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92C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beforeAutospacing="1" w:after="100" w:afterAutospacing="1"/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2C71"/>
    <w:pPr>
      <w:spacing w:line="240" w:lineRule="auto"/>
    </w:pPr>
    <w:rPr>
      <w:rFonts w:ascii="Calibri" w:eastAsia="Calibri" w:hAnsi="Calibri" w:cs="Arial"/>
      <w:sz w:val="22"/>
    </w:rPr>
  </w:style>
  <w:style w:type="paragraph" w:styleId="Nagwek">
    <w:name w:val="header"/>
    <w:basedOn w:val="Normalny"/>
    <w:link w:val="NagwekZnak"/>
    <w:uiPriority w:val="99"/>
    <w:unhideWhenUsed/>
    <w:rsid w:val="00792C71"/>
    <w:pPr>
      <w:tabs>
        <w:tab w:val="center" w:pos="4153"/>
        <w:tab w:val="right" w:pos="8306"/>
      </w:tabs>
      <w:spacing w:before="0" w:beforeAutospacing="0" w:after="0" w:afterAutospacing="0" w:line="240" w:lineRule="auto"/>
      <w:ind w:firstLine="0"/>
    </w:pPr>
    <w:rPr>
      <w:rFonts w:asciiTheme="minorHAnsi" w:eastAsiaTheme="minorEastAsia" w:hAnsiTheme="minorHAnsi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92C71"/>
    <w:rPr>
      <w:rFonts w:asciiTheme="minorHAnsi" w:eastAsiaTheme="minorEastAsia" w:hAnsiTheme="minorHAns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C7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7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92C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2018-06-08T09:40:00Z</dcterms:created>
  <dcterms:modified xsi:type="dcterms:W3CDTF">2018-06-08T09:43:00Z</dcterms:modified>
</cp:coreProperties>
</file>