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9F" w:rsidRPr="000833BB" w:rsidRDefault="000833BB" w:rsidP="000833BB">
      <w:pPr>
        <w:spacing w:after="120" w:line="360" w:lineRule="auto"/>
        <w:jc w:val="center"/>
        <w:rPr>
          <w:sz w:val="36"/>
          <w:szCs w:val="36"/>
        </w:rPr>
      </w:pPr>
      <w:bookmarkStart w:id="0" w:name="_GoBack"/>
      <w:bookmarkEnd w:id="0"/>
      <w:r w:rsidRPr="000833BB">
        <w:rPr>
          <w:sz w:val="36"/>
          <w:szCs w:val="36"/>
        </w:rPr>
        <w:t>KONSPEKT REFERATU</w:t>
      </w:r>
    </w:p>
    <w:p w:rsidR="000833BB" w:rsidRDefault="00E915D8" w:rsidP="000833BB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Orzecznictwo polskich sądów administracyjnych w świetle wartości Unii Europejskiej</w:t>
      </w:r>
    </w:p>
    <w:p w:rsidR="000833BB" w:rsidRDefault="000833BB" w:rsidP="000833BB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Paulina M. Wojtkowska</w:t>
      </w:r>
    </w:p>
    <w:p w:rsidR="000833BB" w:rsidRDefault="000833BB" w:rsidP="000833BB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Kraków, 18-19 października 2017 roku</w:t>
      </w:r>
    </w:p>
    <w:p w:rsidR="000833BB" w:rsidRDefault="000833BB" w:rsidP="000833BB">
      <w:pPr>
        <w:spacing w:after="120" w:line="360" w:lineRule="auto"/>
        <w:jc w:val="center"/>
        <w:rPr>
          <w:sz w:val="22"/>
          <w:szCs w:val="22"/>
        </w:rPr>
      </w:pPr>
    </w:p>
    <w:p w:rsidR="000833BB" w:rsidRDefault="000833BB" w:rsidP="000833BB">
      <w:pPr>
        <w:pStyle w:val="Akapitzlist"/>
        <w:spacing w:after="120" w:line="360" w:lineRule="auto"/>
        <w:jc w:val="both"/>
      </w:pPr>
    </w:p>
    <w:p w:rsidR="000833BB" w:rsidRDefault="000833BB" w:rsidP="000833B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0833BB">
        <w:rPr>
          <w:sz w:val="28"/>
          <w:szCs w:val="28"/>
        </w:rPr>
        <w:t>Wstęp</w:t>
      </w:r>
    </w:p>
    <w:p w:rsidR="000833BB" w:rsidRDefault="00C0434C" w:rsidP="00C0434C">
      <w:pPr>
        <w:spacing w:after="120" w:line="360" w:lineRule="auto"/>
        <w:jc w:val="both"/>
      </w:pPr>
      <w:r>
        <w:t xml:space="preserve">1) </w:t>
      </w:r>
      <w:r w:rsidR="00E53F82">
        <w:t>C</w:t>
      </w:r>
      <w:r w:rsidR="000833BB">
        <w:t>haraktery</w:t>
      </w:r>
      <w:r>
        <w:t>styka Unii</w:t>
      </w:r>
      <w:r w:rsidR="000833BB">
        <w:t xml:space="preserve"> </w:t>
      </w:r>
      <w:proofErr w:type="gramStart"/>
      <w:r w:rsidR="000833BB">
        <w:t>Europejs</w:t>
      </w:r>
      <w:r>
        <w:t>kiej jako</w:t>
      </w:r>
      <w:proofErr w:type="gramEnd"/>
      <w:r>
        <w:t xml:space="preserve"> spójności</w:t>
      </w:r>
      <w:r w:rsidR="00E95702">
        <w:t xml:space="preserve"> trzech filarów</w:t>
      </w:r>
      <w:r>
        <w:t>, z których jeden</w:t>
      </w:r>
      <w:r w:rsidR="0019063F">
        <w:t xml:space="preserve"> tworzą imponderabilia, pełniące funkcję spoiwa aksjologicznego państw członkowskich, określanego rów</w:t>
      </w:r>
      <w:r>
        <w:t>nież jako tożsamość europejska;</w:t>
      </w:r>
    </w:p>
    <w:p w:rsidR="00E53F82" w:rsidRPr="00E53F82" w:rsidRDefault="00E53F82" w:rsidP="00C0434C">
      <w:pPr>
        <w:spacing w:after="120" w:line="360" w:lineRule="auto"/>
        <w:jc w:val="both"/>
      </w:pPr>
      <w:r>
        <w:t xml:space="preserve">2) Sformułowanie celu referatu – podjęcie próby stopnia asymilacji </w:t>
      </w:r>
      <w:r>
        <w:rPr>
          <w:i/>
        </w:rPr>
        <w:t xml:space="preserve">lex </w:t>
      </w:r>
      <w:proofErr w:type="spellStart"/>
      <w:r>
        <w:rPr>
          <w:i/>
        </w:rPr>
        <w:t>patriae</w:t>
      </w:r>
      <w:proofErr w:type="spellEnd"/>
      <w:r>
        <w:t xml:space="preserve"> z prawem unijnym na płaszczyźnie deklarowanych wartości oraz określenie stopnia realizacji ponadnarodowych założeń aksjologicznych w sądownictwie administracyjnym;</w:t>
      </w:r>
    </w:p>
    <w:p w:rsidR="001B1D29" w:rsidRPr="001B1D29" w:rsidRDefault="001B1D29" w:rsidP="001B1D29">
      <w:pPr>
        <w:spacing w:after="120" w:line="360" w:lineRule="auto"/>
        <w:jc w:val="both"/>
        <w:rPr>
          <w:sz w:val="28"/>
          <w:szCs w:val="28"/>
        </w:rPr>
      </w:pPr>
    </w:p>
    <w:p w:rsidR="000833BB" w:rsidRDefault="001B1D29" w:rsidP="000833B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Aksjologia na poziomie europejskim</w:t>
      </w:r>
    </w:p>
    <w:p w:rsidR="00E53F82" w:rsidRDefault="00E53F82" w:rsidP="00E53F82">
      <w:pPr>
        <w:spacing w:after="120" w:line="360" w:lineRule="auto"/>
        <w:jc w:val="both"/>
      </w:pPr>
      <w:r>
        <w:t>1) Wskazanie wartości wynikających z Traktatu o Unii Europejskiej, określenie ich roli i wpływu na prawo europejskie;</w:t>
      </w:r>
    </w:p>
    <w:p w:rsidR="00E53F82" w:rsidRPr="00E53F82" w:rsidRDefault="00E53F82" w:rsidP="00E53F82">
      <w:pPr>
        <w:spacing w:after="120" w:line="360" w:lineRule="auto"/>
        <w:jc w:val="both"/>
      </w:pPr>
      <w:r>
        <w:t>2) Rola sądownictwa w zapewnieniu ochrony wartości ponadnarodowych;</w:t>
      </w:r>
    </w:p>
    <w:p w:rsidR="00C0434C" w:rsidRDefault="00C0434C" w:rsidP="00C0434C">
      <w:pPr>
        <w:pStyle w:val="Akapitzlist"/>
        <w:spacing w:after="120" w:line="360" w:lineRule="auto"/>
        <w:jc w:val="both"/>
        <w:rPr>
          <w:sz w:val="28"/>
          <w:szCs w:val="28"/>
        </w:rPr>
      </w:pPr>
    </w:p>
    <w:p w:rsidR="00C0434C" w:rsidRDefault="00E53F82" w:rsidP="000833B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Wartości Unii Europejskiej na gruncie Konstytucji Rzeczypospolitej Polskiej</w:t>
      </w:r>
    </w:p>
    <w:p w:rsidR="00E53F82" w:rsidRDefault="00E53F82" w:rsidP="00E53F82">
      <w:pPr>
        <w:spacing w:after="120" w:line="360" w:lineRule="auto"/>
        <w:jc w:val="both"/>
      </w:pPr>
      <w:r>
        <w:t>1) Rola Konstytucji Rzeczypospolitej Polskiej w budowaniu tzw. tożsamości europejskiej</w:t>
      </w:r>
      <w:r w:rsidR="00470F2B">
        <w:t xml:space="preserve"> oraz wskazanie wybranych analogii pomiędzy krajowym systemem prawnym a orzecznictwem unijnym</w:t>
      </w:r>
      <w:r>
        <w:t>;</w:t>
      </w:r>
    </w:p>
    <w:p w:rsidR="00470F2B" w:rsidRDefault="00470F2B" w:rsidP="00470F2B">
      <w:pPr>
        <w:spacing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Zasada demokratycznego państwa prawnego</w:t>
      </w:r>
    </w:p>
    <w:p w:rsidR="00470F2B" w:rsidRDefault="00470F2B" w:rsidP="00470F2B">
      <w:pPr>
        <w:spacing w:after="120" w:line="360" w:lineRule="auto"/>
        <w:jc w:val="both"/>
      </w:pPr>
      <w:r w:rsidRPr="00470F2B">
        <w:t>A) Pró</w:t>
      </w:r>
      <w:r>
        <w:t>ba interpretacji wzorców: demokracji i państwa prawnego na tle prawa Unii Europejskiej</w:t>
      </w:r>
      <w:r w:rsidR="00107D85">
        <w:t>;</w:t>
      </w:r>
    </w:p>
    <w:p w:rsidR="00107D85" w:rsidRDefault="00107D85" w:rsidP="00470F2B">
      <w:pPr>
        <w:spacing w:after="120" w:line="360" w:lineRule="auto"/>
        <w:jc w:val="both"/>
      </w:pPr>
      <w:r>
        <w:t xml:space="preserve">B) Interpretacja konstytucyjnej zasady demokratycznego państwa prawnego w kontekście zasad: </w:t>
      </w:r>
      <w:proofErr w:type="spellStart"/>
      <w:r>
        <w:t>nieretroakcji</w:t>
      </w:r>
      <w:proofErr w:type="spellEnd"/>
      <w:r>
        <w:t xml:space="preserve">, zaufania obywateli do państwa, ochrony </w:t>
      </w:r>
      <w:proofErr w:type="gramStart"/>
      <w:r>
        <w:t>praw</w:t>
      </w:r>
      <w:proofErr w:type="gramEnd"/>
      <w:r>
        <w:t xml:space="preserve"> słusznie nabytych, </w:t>
      </w:r>
      <w:r>
        <w:lastRenderedPageBreak/>
        <w:t>trwałości ostatecznej decyzji administracyjnej, w oparciu o orzecznictwo krajowych sądów administracyjnych i doktrynę;</w:t>
      </w:r>
    </w:p>
    <w:p w:rsidR="00107D85" w:rsidRDefault="00107D85" w:rsidP="00470F2B">
      <w:pPr>
        <w:spacing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Wolność</w:t>
      </w:r>
    </w:p>
    <w:p w:rsidR="00107D85" w:rsidRDefault="00107D85" w:rsidP="00470F2B">
      <w:pPr>
        <w:spacing w:after="120" w:line="360" w:lineRule="auto"/>
        <w:jc w:val="both"/>
      </w:pPr>
      <w:r>
        <w:t xml:space="preserve">A) Próba interpretacji wzorca wolności – </w:t>
      </w:r>
      <w:proofErr w:type="gramStart"/>
      <w:r>
        <w:t>wolność jako</w:t>
      </w:r>
      <w:proofErr w:type="gramEnd"/>
      <w:r>
        <w:t xml:space="preserve"> pochodna demokracji </w:t>
      </w:r>
      <w:r w:rsidR="00A63A3C">
        <w:t>oraz w kontekście swobód rynku wewnętrznego Unii Europejskiej;</w:t>
      </w:r>
    </w:p>
    <w:p w:rsidR="00A63A3C" w:rsidRDefault="00A63A3C" w:rsidP="00470F2B">
      <w:pPr>
        <w:spacing w:after="120" w:line="360" w:lineRule="auto"/>
        <w:jc w:val="both"/>
      </w:pPr>
      <w:r>
        <w:t>B) Korelat wolności rozumianej na poziomie europejskim z zawartymi w Konstytucji Rzeczypospolitej Polskiej wolnościami i prawami – charakterystyka wybranych przykładów w oparciu o orzecznictwo krajowych sądów administracyjnych i doktrynę;</w:t>
      </w:r>
    </w:p>
    <w:p w:rsidR="00A63A3C" w:rsidRDefault="00A63A3C" w:rsidP="00470F2B">
      <w:pPr>
        <w:spacing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Równość, godność ludzka i prawa człowieka w kontekście konstytucyjnych wolności</w:t>
      </w:r>
    </w:p>
    <w:p w:rsidR="00A63A3C" w:rsidRDefault="00A63A3C" w:rsidP="00470F2B">
      <w:pPr>
        <w:spacing w:after="120" w:line="360" w:lineRule="auto"/>
        <w:jc w:val="both"/>
      </w:pPr>
      <w:r>
        <w:t xml:space="preserve">A) </w:t>
      </w:r>
      <w:r w:rsidR="00DA306D">
        <w:t xml:space="preserve">Powiązanie </w:t>
      </w:r>
      <w:r w:rsidR="000B496D">
        <w:t xml:space="preserve">wartości równości, godności ludzkiej i </w:t>
      </w:r>
      <w:proofErr w:type="gramStart"/>
      <w:r w:rsidR="000B496D">
        <w:t>praw</w:t>
      </w:r>
      <w:proofErr w:type="gramEnd"/>
      <w:r w:rsidR="000B496D">
        <w:t xml:space="preserve"> człowieka z wolnością na płaszczyźnie Konstytucji Rzeczypospolitej Polskiej;</w:t>
      </w:r>
    </w:p>
    <w:p w:rsidR="000B496D" w:rsidRDefault="000B496D" w:rsidP="00470F2B">
      <w:pPr>
        <w:spacing w:after="120" w:line="360" w:lineRule="auto"/>
        <w:jc w:val="both"/>
      </w:pPr>
      <w:r>
        <w:t>B) Próba interpretacji przytoczonych wzorców w świetle prawa Unii Europejskiej;</w:t>
      </w:r>
    </w:p>
    <w:p w:rsidR="000B496D" w:rsidRDefault="000B496D" w:rsidP="00470F2B">
      <w:pPr>
        <w:spacing w:after="120" w:line="360" w:lineRule="auto"/>
        <w:jc w:val="both"/>
      </w:pPr>
      <w:r>
        <w:t xml:space="preserve">C) </w:t>
      </w:r>
      <w:r w:rsidR="00DD6F97">
        <w:t xml:space="preserve">Interpretacja wzorców w oparciu o </w:t>
      </w:r>
      <w:r w:rsidR="00DD6F97" w:rsidRPr="00DD6F97">
        <w:t>orzecznictwo krajowych sądów administracyjnych i doktrynę;</w:t>
      </w:r>
    </w:p>
    <w:p w:rsidR="00E915D8" w:rsidRDefault="00E915D8" w:rsidP="00470F2B">
      <w:pPr>
        <w:spacing w:after="120" w:line="360" w:lineRule="auto"/>
        <w:jc w:val="both"/>
      </w:pPr>
    </w:p>
    <w:p w:rsidR="00A63A3C" w:rsidRDefault="00E915D8" w:rsidP="00A63A3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b/>
          <w:sz w:val="28"/>
          <w:szCs w:val="28"/>
        </w:rPr>
      </w:pPr>
      <w:r w:rsidRPr="00E915D8">
        <w:rPr>
          <w:b/>
          <w:sz w:val="28"/>
          <w:szCs w:val="28"/>
        </w:rPr>
        <w:t>Podsumowanie</w:t>
      </w:r>
    </w:p>
    <w:p w:rsidR="00DD6F97" w:rsidRDefault="00DD6F97" w:rsidP="00DD6F97">
      <w:pPr>
        <w:spacing w:after="120" w:line="360" w:lineRule="auto"/>
        <w:jc w:val="both"/>
      </w:pPr>
      <w:r>
        <w:t>1) Konkluzja dotycząca obecności ponadnarodowych wartości w wewnętrznym systemie prawnym;</w:t>
      </w:r>
    </w:p>
    <w:p w:rsidR="00DD6F97" w:rsidRPr="00DD6F97" w:rsidRDefault="00DD6F97" w:rsidP="00DD6F97">
      <w:pPr>
        <w:spacing w:after="120" w:line="360" w:lineRule="auto"/>
        <w:jc w:val="both"/>
      </w:pPr>
      <w:r>
        <w:t>2) Ocena stopnia respektowania analizowanych wartości przez krajowe sądownictwo administracyjne.</w:t>
      </w:r>
    </w:p>
    <w:sectPr w:rsidR="00DD6F97" w:rsidRPr="00DD6F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04" w:rsidRDefault="00B26D04" w:rsidP="00470F2B">
      <w:r>
        <w:separator/>
      </w:r>
    </w:p>
  </w:endnote>
  <w:endnote w:type="continuationSeparator" w:id="0">
    <w:p w:rsidR="00B26D04" w:rsidRDefault="00B26D04" w:rsidP="0047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601293"/>
      <w:docPartObj>
        <w:docPartGallery w:val="Page Numbers (Bottom of Page)"/>
        <w:docPartUnique/>
      </w:docPartObj>
    </w:sdtPr>
    <w:sdtEndPr/>
    <w:sdtContent>
      <w:p w:rsidR="00470F2B" w:rsidRDefault="00470F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314">
          <w:rPr>
            <w:noProof/>
          </w:rPr>
          <w:t>1</w:t>
        </w:r>
        <w:r>
          <w:fldChar w:fldCharType="end"/>
        </w:r>
      </w:p>
    </w:sdtContent>
  </w:sdt>
  <w:p w:rsidR="00470F2B" w:rsidRDefault="00470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04" w:rsidRDefault="00B26D04" w:rsidP="00470F2B">
      <w:r>
        <w:separator/>
      </w:r>
    </w:p>
  </w:footnote>
  <w:footnote w:type="continuationSeparator" w:id="0">
    <w:p w:rsidR="00B26D04" w:rsidRDefault="00B26D04" w:rsidP="0047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1F0E"/>
    <w:multiLevelType w:val="hybridMultilevel"/>
    <w:tmpl w:val="0FC8C2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46D7"/>
    <w:multiLevelType w:val="hybridMultilevel"/>
    <w:tmpl w:val="36AE30D0"/>
    <w:lvl w:ilvl="0" w:tplc="D91CA7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056712"/>
    <w:multiLevelType w:val="hybridMultilevel"/>
    <w:tmpl w:val="219CC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BB"/>
    <w:rsid w:val="000833BB"/>
    <w:rsid w:val="000B496D"/>
    <w:rsid w:val="00107D85"/>
    <w:rsid w:val="0019063F"/>
    <w:rsid w:val="001B1D29"/>
    <w:rsid w:val="00354450"/>
    <w:rsid w:val="003B307F"/>
    <w:rsid w:val="00470F2B"/>
    <w:rsid w:val="00850219"/>
    <w:rsid w:val="008C38EB"/>
    <w:rsid w:val="00A63A3C"/>
    <w:rsid w:val="00B26D04"/>
    <w:rsid w:val="00BF171E"/>
    <w:rsid w:val="00BF6F9F"/>
    <w:rsid w:val="00C0434C"/>
    <w:rsid w:val="00C7600E"/>
    <w:rsid w:val="00DA306D"/>
    <w:rsid w:val="00DD6F97"/>
    <w:rsid w:val="00E53F82"/>
    <w:rsid w:val="00E55E9C"/>
    <w:rsid w:val="00E915D8"/>
    <w:rsid w:val="00E95702"/>
    <w:rsid w:val="00F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3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D29"/>
    <w:rPr>
      <w:rFonts w:ascii="Segoe UI" w:hAnsi="Segoe UI" w:cs="Segoe UI"/>
      <w:sz w:val="18"/>
      <w:szCs w:val="18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470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B"/>
    <w:rPr>
      <w:sz w:val="24"/>
      <w:szCs w:val="24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470F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B"/>
    <w:rPr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3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D29"/>
    <w:rPr>
      <w:rFonts w:ascii="Segoe UI" w:hAnsi="Segoe UI" w:cs="Segoe UI"/>
      <w:sz w:val="18"/>
      <w:szCs w:val="18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470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B"/>
    <w:rPr>
      <w:sz w:val="24"/>
      <w:szCs w:val="24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470F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B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Wardyński i Wpólnicy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2017-09-15T14:46:00Z</cp:lastPrinted>
  <dcterms:created xsi:type="dcterms:W3CDTF">2017-09-22T14:45:00Z</dcterms:created>
  <dcterms:modified xsi:type="dcterms:W3CDTF">2017-09-22T14:45:00Z</dcterms:modified>
</cp:coreProperties>
</file>