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0C" w:rsidRPr="00586F0C" w:rsidRDefault="00586F0C" w:rsidP="00586F0C">
      <w:pPr>
        <w:spacing w:after="0"/>
        <w:jc w:val="right"/>
        <w:rPr>
          <w:rFonts w:cs="Times New Roman"/>
          <w:i/>
          <w:sz w:val="24"/>
          <w:szCs w:val="24"/>
          <w:lang w:val="uk-UA"/>
        </w:rPr>
      </w:pPr>
      <w:bookmarkStart w:id="0" w:name="_GoBack"/>
      <w:bookmarkEnd w:id="0"/>
      <w:proofErr w:type="gramStart"/>
      <w:r w:rsidRPr="00586F0C">
        <w:rPr>
          <w:rFonts w:cs="Times New Roman"/>
          <w:i/>
          <w:sz w:val="24"/>
          <w:szCs w:val="24"/>
          <w:lang w:val="en-GB"/>
        </w:rPr>
        <w:t>doc</w:t>
      </w:r>
      <w:proofErr w:type="gramEnd"/>
      <w:r w:rsidRPr="00586F0C">
        <w:rPr>
          <w:rFonts w:cs="Times New Roman"/>
          <w:i/>
          <w:sz w:val="24"/>
          <w:szCs w:val="24"/>
          <w:lang w:val="en-GB"/>
        </w:rPr>
        <w:t xml:space="preserve"> </w:t>
      </w:r>
      <w:proofErr w:type="spellStart"/>
      <w:r w:rsidRPr="00586F0C">
        <w:rPr>
          <w:rFonts w:cs="Times New Roman"/>
          <w:i/>
          <w:sz w:val="24"/>
          <w:szCs w:val="24"/>
          <w:lang w:val="en-GB"/>
        </w:rPr>
        <w:t>dr</w:t>
      </w:r>
      <w:proofErr w:type="spellEnd"/>
      <w:r w:rsidRPr="00586F0C">
        <w:rPr>
          <w:rFonts w:cs="Times New Roman"/>
          <w:i/>
          <w:sz w:val="24"/>
          <w:szCs w:val="24"/>
          <w:lang w:val="en-GB"/>
        </w:rPr>
        <w:t xml:space="preserve"> </w:t>
      </w:r>
      <w:proofErr w:type="spellStart"/>
      <w:r w:rsidRPr="00586F0C">
        <w:rPr>
          <w:rFonts w:cs="Times New Roman"/>
          <w:i/>
          <w:sz w:val="24"/>
          <w:szCs w:val="24"/>
          <w:lang w:val="en-GB"/>
        </w:rPr>
        <w:t>Ołesia</w:t>
      </w:r>
      <w:proofErr w:type="spellEnd"/>
      <w:r w:rsidRPr="00586F0C">
        <w:rPr>
          <w:rFonts w:cs="Times New Roman"/>
          <w:i/>
          <w:sz w:val="24"/>
          <w:szCs w:val="24"/>
          <w:lang w:val="en-GB"/>
        </w:rPr>
        <w:t xml:space="preserve"> </w:t>
      </w:r>
      <w:proofErr w:type="spellStart"/>
      <w:r w:rsidRPr="00586F0C">
        <w:rPr>
          <w:rFonts w:cs="Times New Roman"/>
          <w:i/>
          <w:sz w:val="24"/>
          <w:szCs w:val="24"/>
          <w:lang w:val="en-GB"/>
        </w:rPr>
        <w:t>Radyszewska</w:t>
      </w:r>
      <w:proofErr w:type="spellEnd"/>
      <w:r w:rsidRPr="00586F0C">
        <w:rPr>
          <w:rFonts w:cs="Times New Roman"/>
          <w:i/>
          <w:sz w:val="24"/>
          <w:szCs w:val="24"/>
          <w:lang w:val="en-GB"/>
        </w:rPr>
        <w:t xml:space="preserve"> </w:t>
      </w:r>
      <w:r w:rsidRPr="00586F0C">
        <w:rPr>
          <w:rFonts w:cs="Times New Roman"/>
          <w:i/>
          <w:sz w:val="24"/>
          <w:szCs w:val="24"/>
          <w:lang w:val="uk-UA"/>
        </w:rPr>
        <w:t>(доц., к.ю.н., Олеся Радишевська)</w:t>
      </w:r>
    </w:p>
    <w:p w:rsidR="00586F0C" w:rsidRPr="00586F0C" w:rsidRDefault="00586F0C" w:rsidP="00586F0C">
      <w:pPr>
        <w:spacing w:after="0"/>
        <w:jc w:val="right"/>
        <w:rPr>
          <w:rFonts w:cs="Times New Roman"/>
          <w:sz w:val="24"/>
          <w:szCs w:val="24"/>
          <w:lang w:val="en-GB"/>
        </w:rPr>
      </w:pPr>
      <w:proofErr w:type="spellStart"/>
      <w:r w:rsidRPr="00586F0C">
        <w:rPr>
          <w:rFonts w:cs="Times New Roman"/>
          <w:sz w:val="24"/>
          <w:szCs w:val="24"/>
          <w:lang w:val="en-GB"/>
        </w:rPr>
        <w:t>Taras</w:t>
      </w:r>
      <w:proofErr w:type="spellEnd"/>
      <w:r w:rsidRPr="00586F0C">
        <w:rPr>
          <w:rFonts w:cs="Times New Roman"/>
          <w:sz w:val="24"/>
          <w:szCs w:val="24"/>
          <w:lang w:val="en-GB"/>
        </w:rPr>
        <w:t xml:space="preserve"> Shevchenko National University of Kyiv, Faculty of Law</w:t>
      </w:r>
    </w:p>
    <w:p w:rsidR="00586F0C" w:rsidRPr="00586F0C" w:rsidRDefault="00586F0C" w:rsidP="00586F0C">
      <w:pPr>
        <w:spacing w:after="0"/>
        <w:jc w:val="right"/>
        <w:rPr>
          <w:rFonts w:cs="Times New Roman"/>
          <w:sz w:val="24"/>
          <w:szCs w:val="24"/>
          <w:lang w:val="en-GB"/>
        </w:rPr>
      </w:pPr>
      <w:r w:rsidRPr="00586F0C">
        <w:rPr>
          <w:rFonts w:cs="Times New Roman"/>
          <w:sz w:val="24"/>
          <w:szCs w:val="24"/>
          <w:lang w:val="en-GB"/>
        </w:rPr>
        <w:t>Department of Administrative Law</w:t>
      </w:r>
    </w:p>
    <w:p w:rsidR="00586F0C" w:rsidRPr="00586F0C" w:rsidRDefault="00586F0C" w:rsidP="00586F0C">
      <w:pPr>
        <w:spacing w:after="0"/>
        <w:jc w:val="right"/>
        <w:rPr>
          <w:rFonts w:cs="Times New Roman"/>
          <w:b/>
          <w:sz w:val="24"/>
          <w:szCs w:val="24"/>
          <w:lang w:val="en-GB"/>
        </w:rPr>
      </w:pPr>
      <w:r w:rsidRPr="00586F0C">
        <w:rPr>
          <w:rFonts w:cs="Times New Roman"/>
          <w:sz w:val="24"/>
          <w:szCs w:val="24"/>
          <w:lang w:val="en-GB"/>
        </w:rPr>
        <w:t>Director of Polish Law Centre</w:t>
      </w:r>
    </w:p>
    <w:p w:rsidR="00586F0C" w:rsidRPr="00586F0C" w:rsidRDefault="00586F0C" w:rsidP="00586F0C">
      <w:pPr>
        <w:pStyle w:val="NormalnyWeb"/>
        <w:tabs>
          <w:tab w:val="left" w:pos="142"/>
        </w:tabs>
        <w:spacing w:before="0" w:after="0" w:line="360" w:lineRule="auto"/>
        <w:ind w:left="709"/>
        <w:jc w:val="both"/>
        <w:rPr>
          <w:rFonts w:ascii="Times New Roman" w:eastAsia="Arial Unicode MS" w:hAnsi="Times New Roman"/>
          <w:b/>
          <w:sz w:val="24"/>
          <w:szCs w:val="24"/>
          <w:lang w:val="en-GB"/>
        </w:rPr>
      </w:pPr>
    </w:p>
    <w:p w:rsidR="00586F0C" w:rsidRPr="00586F0C" w:rsidRDefault="00586F0C" w:rsidP="00586F0C">
      <w:pPr>
        <w:pStyle w:val="NormalnyWeb"/>
        <w:tabs>
          <w:tab w:val="left" w:pos="142"/>
        </w:tabs>
        <w:spacing w:before="0" w:after="0" w:line="360" w:lineRule="auto"/>
        <w:ind w:left="709"/>
        <w:jc w:val="both"/>
        <w:rPr>
          <w:rFonts w:ascii="Times New Roman" w:eastAsia="Arial Unicode MS" w:hAnsi="Times New Roman"/>
          <w:b/>
          <w:sz w:val="24"/>
          <w:szCs w:val="24"/>
          <w:lang w:val="en-GB"/>
        </w:rPr>
      </w:pPr>
      <w:r w:rsidRPr="00586F0C">
        <w:rPr>
          <w:rFonts w:ascii="Times New Roman" w:eastAsia="Arial Unicode MS" w:hAnsi="Times New Roman"/>
          <w:b/>
          <w:sz w:val="24"/>
          <w:szCs w:val="24"/>
          <w:lang w:val="en-GB"/>
        </w:rPr>
        <w:t>EUROPEAN INTEGRATION PROCESS IN UKRAINE</w:t>
      </w:r>
      <w:r w:rsidRPr="00586F0C">
        <w:rPr>
          <w:rFonts w:ascii="Times New Roman" w:eastAsia="Arial Unicode MS" w:hAnsi="Times New Roman"/>
          <w:b/>
          <w:sz w:val="24"/>
          <w:szCs w:val="24"/>
          <w:lang w:val="uk-UA"/>
        </w:rPr>
        <w:t xml:space="preserve">: </w:t>
      </w:r>
      <w:r w:rsidRPr="00586F0C">
        <w:rPr>
          <w:rFonts w:ascii="Times New Roman" w:eastAsia="Arial Unicode MS" w:hAnsi="Times New Roman"/>
          <w:b/>
          <w:sz w:val="24"/>
          <w:szCs w:val="24"/>
          <w:lang w:val="en-US"/>
        </w:rPr>
        <w:t>PERSPECTIVES AND CHALLENGES</w:t>
      </w:r>
      <w:r w:rsidRPr="00586F0C">
        <w:rPr>
          <w:rFonts w:ascii="Times New Roman" w:eastAsia="Arial Unicode MS" w:hAnsi="Times New Roman"/>
          <w:b/>
          <w:sz w:val="24"/>
          <w:szCs w:val="24"/>
          <w:lang w:val="uk-UA"/>
        </w:rPr>
        <w:t xml:space="preserve"> </w:t>
      </w:r>
      <w:r w:rsidRPr="00586F0C">
        <w:rPr>
          <w:rFonts w:ascii="Times New Roman" w:eastAsia="Arial Unicode MS" w:hAnsi="Times New Roman"/>
          <w:b/>
          <w:sz w:val="24"/>
          <w:szCs w:val="24"/>
          <w:lang w:val="en-US"/>
        </w:rPr>
        <w:t>FOR PUBLIC ADMINISTRATION</w:t>
      </w:r>
    </w:p>
    <w:p w:rsidR="00586F0C" w:rsidRPr="00586F0C" w:rsidRDefault="00586F0C" w:rsidP="00586F0C">
      <w:pPr>
        <w:pStyle w:val="Akapitzlist"/>
        <w:spacing w:line="360" w:lineRule="auto"/>
        <w:ind w:left="0" w:firstLine="709"/>
        <w:jc w:val="both"/>
        <w:rPr>
          <w:sz w:val="24"/>
          <w:szCs w:val="24"/>
          <w:lang w:val="en-US"/>
        </w:rPr>
      </w:pPr>
    </w:p>
    <w:p w:rsidR="00586F0C" w:rsidRPr="00586F0C" w:rsidRDefault="00586F0C" w:rsidP="00586F0C">
      <w:pPr>
        <w:pStyle w:val="Akapitzlist"/>
        <w:spacing w:line="360" w:lineRule="auto"/>
        <w:ind w:left="0" w:firstLine="709"/>
        <w:jc w:val="both"/>
        <w:rPr>
          <w:sz w:val="24"/>
          <w:szCs w:val="24"/>
          <w:lang w:val="en-US"/>
        </w:rPr>
      </w:pPr>
      <w:r w:rsidRPr="00586F0C">
        <w:rPr>
          <w:sz w:val="24"/>
          <w:szCs w:val="24"/>
          <w:lang w:val="en-US"/>
        </w:rPr>
        <w:t>From the Ukrainian point of view, the European integration process has two dimensions. One is mainly political in character and represents the return to democratic principles, a rule of law, human rights protection, good governance etc. The most important Ukrainian’s step in this direction was joining the Council of Europe in 1999, active participation in its work, and ratification of many European conventions, e.g. the European Convention for the Human Rights and Fundamental Freedoms of 1950, the European Charter of Local Self–Government of 1985, and many others.</w:t>
      </w:r>
    </w:p>
    <w:p w:rsidR="00586F0C" w:rsidRPr="00586F0C" w:rsidRDefault="00586F0C" w:rsidP="00586F0C">
      <w:pPr>
        <w:pStyle w:val="Akapitzlist"/>
        <w:spacing w:line="360" w:lineRule="auto"/>
        <w:ind w:left="0" w:firstLine="709"/>
        <w:jc w:val="both"/>
        <w:rPr>
          <w:rFonts w:ascii="Arial" w:hAnsi="Arial" w:cs="Arial"/>
          <w:color w:val="222222"/>
          <w:sz w:val="24"/>
          <w:szCs w:val="24"/>
          <w:shd w:val="clear" w:color="auto" w:fill="FFFFFF"/>
          <w:vertAlign w:val="superscript"/>
          <w:lang w:val="en-GB"/>
        </w:rPr>
      </w:pPr>
      <w:r w:rsidRPr="00586F0C">
        <w:rPr>
          <w:sz w:val="24"/>
          <w:szCs w:val="24"/>
          <w:lang w:val="en-US"/>
        </w:rPr>
        <w:t xml:space="preserve">Another dimension of the European integration is related to preparations of Ukraine to the European Union accession. Ukraine's desire to join the European institutions dates back to 1994 when the government declared that integration to the EU is the main foreign policy objective. As a result, political part of the </w:t>
      </w:r>
      <w:r w:rsidRPr="00586F0C">
        <w:rPr>
          <w:rFonts w:cs="Times New Roman"/>
          <w:sz w:val="24"/>
          <w:szCs w:val="24"/>
          <w:lang w:val="en-GB"/>
        </w:rPr>
        <w:t>Association Agreement between the European Union and the European Atomic Energy Community and their Member States, on the one part, and Ukraine, on the other part</w:t>
      </w:r>
      <w:r w:rsidRPr="00586F0C">
        <w:rPr>
          <w:sz w:val="24"/>
          <w:szCs w:val="24"/>
          <w:lang w:val="en-US"/>
        </w:rPr>
        <w:t xml:space="preserve"> </w:t>
      </w:r>
      <w:r w:rsidRPr="00586F0C">
        <w:rPr>
          <w:sz w:val="24"/>
          <w:szCs w:val="24"/>
          <w:lang w:val="en-GB"/>
        </w:rPr>
        <w:t>(</w:t>
      </w:r>
      <w:r w:rsidRPr="00586F0C">
        <w:rPr>
          <w:rFonts w:cs="Times New Roman"/>
          <w:sz w:val="24"/>
          <w:szCs w:val="24"/>
          <w:lang w:val="en-GB"/>
        </w:rPr>
        <w:t>hereinafter –</w:t>
      </w:r>
      <w:r w:rsidRPr="00586F0C">
        <w:rPr>
          <w:sz w:val="24"/>
          <w:szCs w:val="24"/>
          <w:lang w:val="en-GB"/>
        </w:rPr>
        <w:t xml:space="preserve"> </w:t>
      </w:r>
      <w:r w:rsidRPr="00586F0C">
        <w:rPr>
          <w:sz w:val="24"/>
          <w:szCs w:val="24"/>
          <w:lang w:val="en-US"/>
        </w:rPr>
        <w:t>Association Agreement</w:t>
      </w:r>
      <w:r w:rsidRPr="00586F0C">
        <w:rPr>
          <w:sz w:val="24"/>
          <w:szCs w:val="24"/>
          <w:lang w:val="en-GB"/>
        </w:rPr>
        <w:t xml:space="preserve">) </w:t>
      </w:r>
      <w:r w:rsidRPr="00586F0C">
        <w:rPr>
          <w:sz w:val="24"/>
          <w:szCs w:val="24"/>
          <w:lang w:val="en-US"/>
        </w:rPr>
        <w:t>was signed on 21 March 2014 by the Prime Minister and economic part was signed on 27 June 2014 by the President of Ukraine</w:t>
      </w:r>
      <w:r w:rsidRPr="00586F0C">
        <w:rPr>
          <w:sz w:val="24"/>
          <w:szCs w:val="24"/>
          <w:lang w:val="uk-UA"/>
        </w:rPr>
        <w:t>.</w:t>
      </w:r>
      <w:r w:rsidRPr="00586F0C">
        <w:rPr>
          <w:rStyle w:val="Odwoanieprzypisudolnego"/>
          <w:rFonts w:ascii="Arial" w:hAnsi="Arial" w:cs="Arial"/>
          <w:color w:val="222222"/>
          <w:sz w:val="24"/>
          <w:szCs w:val="24"/>
          <w:shd w:val="clear" w:color="auto" w:fill="FFFFFF"/>
          <w:lang w:val="en-GB"/>
        </w:rPr>
        <w:footnoteReference w:id="1"/>
      </w:r>
      <w:r w:rsidRPr="00586F0C">
        <w:rPr>
          <w:rFonts w:ascii="Arial" w:hAnsi="Arial" w:cs="Arial"/>
          <w:color w:val="222222"/>
          <w:sz w:val="24"/>
          <w:szCs w:val="24"/>
          <w:shd w:val="clear" w:color="auto" w:fill="FFFFFF"/>
          <w:lang w:val="en-GB"/>
        </w:rPr>
        <w:t xml:space="preserve"> </w:t>
      </w:r>
      <w:r w:rsidRPr="00586F0C">
        <w:rPr>
          <w:rFonts w:cs="Times New Roman"/>
          <w:color w:val="222222"/>
          <w:sz w:val="24"/>
          <w:szCs w:val="24"/>
          <w:shd w:val="clear" w:color="auto" w:fill="FFFFFF"/>
          <w:lang w:val="en-GB"/>
        </w:rPr>
        <w:t xml:space="preserve">Mr </w:t>
      </w:r>
      <w:r w:rsidRPr="00586F0C">
        <w:rPr>
          <w:sz w:val="24"/>
          <w:szCs w:val="24"/>
          <w:lang w:val="en-US"/>
        </w:rPr>
        <w:t xml:space="preserve">Petro </w:t>
      </w:r>
      <w:proofErr w:type="spellStart"/>
      <w:r w:rsidRPr="00586F0C">
        <w:rPr>
          <w:sz w:val="24"/>
          <w:szCs w:val="24"/>
          <w:lang w:val="en-US"/>
        </w:rPr>
        <w:t>Poroshenko</w:t>
      </w:r>
      <w:proofErr w:type="spellEnd"/>
      <w:r w:rsidRPr="00586F0C">
        <w:rPr>
          <w:sz w:val="24"/>
          <w:szCs w:val="24"/>
          <w:lang w:val="en-US"/>
        </w:rPr>
        <w:t xml:space="preserve"> described this as Ukraine's </w:t>
      </w:r>
      <w:r w:rsidRPr="00586F0C">
        <w:rPr>
          <w:sz w:val="24"/>
          <w:szCs w:val="24"/>
          <w:lang w:val="uk-UA"/>
        </w:rPr>
        <w:t>«</w:t>
      </w:r>
      <w:r w:rsidRPr="00586F0C">
        <w:rPr>
          <w:sz w:val="24"/>
          <w:szCs w:val="24"/>
          <w:lang w:val="en-US"/>
        </w:rPr>
        <w:t>first but most decisive step</w:t>
      </w:r>
      <w:r w:rsidRPr="00586F0C">
        <w:rPr>
          <w:sz w:val="24"/>
          <w:szCs w:val="24"/>
          <w:lang w:val="uk-UA"/>
        </w:rPr>
        <w:t>»</w:t>
      </w:r>
      <w:r w:rsidRPr="00586F0C">
        <w:rPr>
          <w:sz w:val="24"/>
          <w:szCs w:val="24"/>
          <w:lang w:val="en-US"/>
        </w:rPr>
        <w:t xml:space="preserve"> towards EU membership.</w:t>
      </w:r>
      <w:r w:rsidRPr="00586F0C">
        <w:rPr>
          <w:rStyle w:val="Odwoanieprzypisudolnego"/>
          <w:rFonts w:ascii="Arial" w:hAnsi="Arial" w:cs="Arial"/>
          <w:color w:val="222222"/>
          <w:sz w:val="24"/>
          <w:szCs w:val="24"/>
          <w:shd w:val="clear" w:color="auto" w:fill="FFFFFF"/>
          <w:lang w:val="en-GB"/>
        </w:rPr>
        <w:footnoteReference w:id="2"/>
      </w:r>
      <w:r w:rsidRPr="00586F0C">
        <w:rPr>
          <w:rFonts w:ascii="Arial" w:hAnsi="Arial" w:cs="Arial"/>
          <w:color w:val="222222"/>
          <w:sz w:val="24"/>
          <w:szCs w:val="24"/>
          <w:shd w:val="clear" w:color="auto" w:fill="FFFFFF"/>
          <w:vertAlign w:val="superscript"/>
          <w:lang w:val="en-GB"/>
        </w:rPr>
        <w:t xml:space="preserve"> </w:t>
      </w:r>
    </w:p>
    <w:p w:rsidR="00586F0C" w:rsidRPr="00586F0C" w:rsidRDefault="00586F0C" w:rsidP="00586F0C">
      <w:pPr>
        <w:pStyle w:val="Akapitzlist"/>
        <w:spacing w:line="360" w:lineRule="auto"/>
        <w:ind w:left="0" w:firstLine="709"/>
        <w:jc w:val="both"/>
        <w:rPr>
          <w:sz w:val="24"/>
          <w:szCs w:val="24"/>
          <w:lang w:val="en-US"/>
        </w:rPr>
      </w:pPr>
      <w:r w:rsidRPr="00586F0C">
        <w:rPr>
          <w:sz w:val="24"/>
          <w:szCs w:val="24"/>
          <w:lang w:val="en-US"/>
        </w:rPr>
        <w:t xml:space="preserve">One of the most important conditions of Ukraine’s membership in the European Union is the adjustment of the law. Ukraine has to adopt </w:t>
      </w:r>
      <w:proofErr w:type="spellStart"/>
      <w:r w:rsidRPr="00586F0C">
        <w:rPr>
          <w:i/>
          <w:sz w:val="24"/>
          <w:szCs w:val="24"/>
          <w:lang w:val="en-US"/>
        </w:rPr>
        <w:t>acquis</w:t>
      </w:r>
      <w:proofErr w:type="spellEnd"/>
      <w:r w:rsidRPr="00586F0C">
        <w:rPr>
          <w:i/>
          <w:sz w:val="24"/>
          <w:szCs w:val="24"/>
          <w:lang w:val="en-US"/>
        </w:rPr>
        <w:t xml:space="preserve"> </w:t>
      </w:r>
      <w:proofErr w:type="spellStart"/>
      <w:r w:rsidRPr="00586F0C">
        <w:rPr>
          <w:i/>
          <w:sz w:val="24"/>
          <w:szCs w:val="24"/>
          <w:lang w:val="en-US"/>
        </w:rPr>
        <w:t>communautaire</w:t>
      </w:r>
      <w:proofErr w:type="spellEnd"/>
      <w:r w:rsidRPr="00586F0C">
        <w:rPr>
          <w:i/>
          <w:sz w:val="24"/>
          <w:szCs w:val="24"/>
          <w:lang w:val="en-US"/>
        </w:rPr>
        <w:t xml:space="preserve"> </w:t>
      </w:r>
      <w:r w:rsidRPr="00586F0C">
        <w:rPr>
          <w:sz w:val="24"/>
          <w:szCs w:val="24"/>
          <w:lang w:val="en-US"/>
        </w:rPr>
        <w:t>(</w:t>
      </w:r>
      <w:r w:rsidRPr="00586F0C">
        <w:rPr>
          <w:rFonts w:cs="Times New Roman"/>
          <w:sz w:val="24"/>
          <w:szCs w:val="24"/>
          <w:lang w:val="en-GB"/>
        </w:rPr>
        <w:t xml:space="preserve">hereinafter – </w:t>
      </w:r>
      <w:r w:rsidRPr="00586F0C">
        <w:rPr>
          <w:i/>
          <w:sz w:val="24"/>
          <w:szCs w:val="24"/>
          <w:lang w:val="en-US"/>
        </w:rPr>
        <w:t xml:space="preserve">EU </w:t>
      </w:r>
      <w:proofErr w:type="spellStart"/>
      <w:r w:rsidRPr="00586F0C">
        <w:rPr>
          <w:i/>
          <w:sz w:val="24"/>
          <w:szCs w:val="24"/>
          <w:lang w:val="en-US"/>
        </w:rPr>
        <w:t>acquis</w:t>
      </w:r>
      <w:proofErr w:type="spellEnd"/>
      <w:r w:rsidRPr="00586F0C">
        <w:rPr>
          <w:sz w:val="24"/>
          <w:szCs w:val="24"/>
          <w:lang w:val="en-US"/>
        </w:rPr>
        <w:t xml:space="preserve">). That does not only require the translation of many legal acts and their implementation, but also securing its observance. It is emphasized both in accession negotiations and in the subject’s literature that the last issue may pose the biggest problem, since it must be connected with the change of public administration and other state authorities’ bodies functioning. </w:t>
      </w:r>
    </w:p>
    <w:p w:rsidR="00586F0C" w:rsidRPr="00586F0C" w:rsidRDefault="00586F0C" w:rsidP="00586F0C">
      <w:pPr>
        <w:pStyle w:val="Akapitzlist"/>
        <w:spacing w:after="0" w:line="360" w:lineRule="auto"/>
        <w:ind w:left="0" w:firstLine="709"/>
        <w:jc w:val="both"/>
        <w:rPr>
          <w:sz w:val="24"/>
          <w:szCs w:val="24"/>
          <w:lang w:val="en-US"/>
        </w:rPr>
      </w:pPr>
      <w:r w:rsidRPr="00586F0C">
        <w:rPr>
          <w:rFonts w:cs="Times New Roman"/>
          <w:sz w:val="24"/>
          <w:szCs w:val="24"/>
          <w:lang w:val="en-GB"/>
        </w:rPr>
        <w:lastRenderedPageBreak/>
        <w:t>The connection between the public administration reform and European integration has been frequently stressed in the context of the enlargement of the European Union in 2004</w:t>
      </w:r>
      <w:r w:rsidRPr="00586F0C">
        <w:rPr>
          <w:rStyle w:val="Odwoanieprzypisudolnego"/>
          <w:rFonts w:cs="Times New Roman"/>
          <w:sz w:val="24"/>
          <w:szCs w:val="24"/>
          <w:lang w:val="en-GB"/>
        </w:rPr>
        <w:footnoteReference w:id="3"/>
      </w:r>
      <w:r w:rsidRPr="00586F0C">
        <w:rPr>
          <w:rFonts w:cs="Times New Roman"/>
          <w:sz w:val="24"/>
          <w:szCs w:val="24"/>
          <w:lang w:val="en-GB"/>
        </w:rPr>
        <w:t xml:space="preserve">. Although this link is rather indirect, given that there is no </w:t>
      </w:r>
      <w:r w:rsidRPr="00586F0C">
        <w:rPr>
          <w:rFonts w:cs="Times New Roman"/>
          <w:i/>
          <w:sz w:val="24"/>
          <w:szCs w:val="24"/>
          <w:lang w:val="en-GB"/>
        </w:rPr>
        <w:t xml:space="preserve">EU </w:t>
      </w:r>
      <w:proofErr w:type="spellStart"/>
      <w:r w:rsidRPr="00586F0C">
        <w:rPr>
          <w:rFonts w:cs="Times New Roman"/>
          <w:i/>
          <w:sz w:val="24"/>
          <w:szCs w:val="24"/>
          <w:lang w:val="en-GB"/>
        </w:rPr>
        <w:t>acquis</w:t>
      </w:r>
      <w:proofErr w:type="spellEnd"/>
      <w:r w:rsidRPr="00586F0C">
        <w:rPr>
          <w:rFonts w:cs="Times New Roman"/>
          <w:i/>
          <w:sz w:val="24"/>
          <w:szCs w:val="24"/>
          <w:lang w:val="en-GB"/>
        </w:rPr>
        <w:t xml:space="preserve"> </w:t>
      </w:r>
      <w:r w:rsidRPr="00586F0C">
        <w:rPr>
          <w:rFonts w:cs="Times New Roman"/>
          <w:sz w:val="24"/>
          <w:szCs w:val="24"/>
          <w:lang w:val="en-GB"/>
        </w:rPr>
        <w:t>in the area of public administration, its significance has been often emphasised, as the «</w:t>
      </w:r>
      <w:r w:rsidRPr="00586F0C">
        <w:rPr>
          <w:rFonts w:cs="Times New Roman"/>
          <w:i/>
          <w:sz w:val="24"/>
          <w:szCs w:val="24"/>
          <w:lang w:val="en-GB"/>
        </w:rPr>
        <w:t xml:space="preserve">soft </w:t>
      </w:r>
      <w:proofErr w:type="spellStart"/>
      <w:r w:rsidRPr="00586F0C">
        <w:rPr>
          <w:rFonts w:cs="Times New Roman"/>
          <w:i/>
          <w:sz w:val="24"/>
          <w:szCs w:val="24"/>
          <w:lang w:val="en-GB"/>
        </w:rPr>
        <w:t>acqui</w:t>
      </w:r>
      <w:proofErr w:type="spellEnd"/>
      <w:r w:rsidRPr="00586F0C">
        <w:rPr>
          <w:rFonts w:cs="Times New Roman"/>
          <w:i/>
          <w:sz w:val="24"/>
          <w:szCs w:val="24"/>
          <w:lang w:val="en-GB"/>
        </w:rPr>
        <w:t>»</w:t>
      </w:r>
      <w:r w:rsidRPr="00586F0C">
        <w:rPr>
          <w:rFonts w:cs="Times New Roman"/>
          <w:sz w:val="24"/>
          <w:szCs w:val="24"/>
          <w:lang w:val="en-GB"/>
        </w:rPr>
        <w:t xml:space="preserve"> in the area of administrative capacities has developed</w:t>
      </w:r>
      <w:r w:rsidRPr="00586F0C">
        <w:rPr>
          <w:rStyle w:val="Odwoanieprzypisudolnego"/>
          <w:rFonts w:cs="Times New Roman"/>
          <w:sz w:val="24"/>
          <w:szCs w:val="24"/>
          <w:lang w:val="en-GB"/>
        </w:rPr>
        <w:footnoteReference w:id="4"/>
      </w:r>
      <w:r w:rsidRPr="00586F0C">
        <w:rPr>
          <w:rFonts w:cs="Times New Roman"/>
          <w:sz w:val="24"/>
          <w:szCs w:val="24"/>
          <w:lang w:val="en-GB"/>
        </w:rPr>
        <w:t>.</w:t>
      </w:r>
    </w:p>
    <w:p w:rsidR="00586F0C" w:rsidRPr="00586F0C" w:rsidRDefault="00586F0C" w:rsidP="00586F0C">
      <w:pPr>
        <w:spacing w:after="0" w:line="360" w:lineRule="auto"/>
        <w:ind w:firstLine="680"/>
        <w:jc w:val="both"/>
        <w:rPr>
          <w:rFonts w:eastAsia="Arial Unicode MS"/>
          <w:sz w:val="24"/>
          <w:szCs w:val="24"/>
          <w:lang w:val="en-GB"/>
        </w:rPr>
      </w:pPr>
      <w:r w:rsidRPr="00586F0C">
        <w:rPr>
          <w:sz w:val="24"/>
          <w:szCs w:val="24"/>
          <w:lang w:val="en-US"/>
        </w:rPr>
        <w:t>Thus, the European integration process concerns Ukraine more and more directly. It gives many new challenges to Ukrainian public administration.  On one hand, they are new opportunities to broaden a scope of its activities without limitations resulting from the functioning in one state; on the other hand, it means the necessity of adjusting to European standards of administration. At this time, a thorough assessment</w:t>
      </w:r>
      <w:r w:rsidRPr="00586F0C">
        <w:rPr>
          <w:rFonts w:eastAsia="Arial Unicode MS"/>
          <w:sz w:val="24"/>
          <w:szCs w:val="24"/>
          <w:lang w:val="en-GB"/>
        </w:rPr>
        <w:t xml:space="preserve"> of the state of play in the Ukrainian public administration system has not been carried out according to the Principles of Public Administration (SIGMA).</w:t>
      </w:r>
      <w:r w:rsidRPr="00586F0C">
        <w:rPr>
          <w:rStyle w:val="Odwoanieprzypisudolnego"/>
          <w:rFonts w:eastAsia="Arial Unicode MS"/>
          <w:sz w:val="24"/>
          <w:szCs w:val="24"/>
          <w:lang w:val="en-GB"/>
        </w:rPr>
        <w:footnoteReference w:id="5"/>
      </w:r>
    </w:p>
    <w:p w:rsidR="00586F0C" w:rsidRPr="00586F0C" w:rsidRDefault="00586F0C" w:rsidP="00586F0C">
      <w:pPr>
        <w:spacing w:after="0" w:line="360" w:lineRule="auto"/>
        <w:ind w:firstLine="709"/>
        <w:jc w:val="both"/>
        <w:rPr>
          <w:rFonts w:cs="Times New Roman"/>
          <w:sz w:val="24"/>
          <w:szCs w:val="24"/>
          <w:lang w:val="en-GB"/>
        </w:rPr>
      </w:pPr>
      <w:r w:rsidRPr="00586F0C">
        <w:rPr>
          <w:rFonts w:cs="Times New Roman"/>
          <w:sz w:val="24"/>
          <w:szCs w:val="24"/>
          <w:lang w:val="en-GB"/>
        </w:rPr>
        <w:t xml:space="preserve">The European standards of good administration have been articulated in a SIGMA document «Principles of Public Administration» that contains an assessment framework for public administrations. This structure of the Strategy follows the Principles of Public Administration developed by SIGMA in close cooperation with the European Commission. They define what good governance entails in practice, and outline the main requirements for a well-functioning administration. The Principles are derived from international standards and requirements, as well as good practices in the EU Member States and/or countries of the Organization for Economic Cooperation and Development (OECD). They are recognized as a set of standards and an assessment framework for the reforms of public administration in a number of countries. The Principles of Public Administration defines the following reform areas: </w:t>
      </w:r>
    </w:p>
    <w:p w:rsidR="00586F0C" w:rsidRPr="00586F0C" w:rsidRDefault="00586F0C" w:rsidP="00586F0C">
      <w:pPr>
        <w:spacing w:after="0" w:line="360" w:lineRule="auto"/>
        <w:jc w:val="both"/>
        <w:rPr>
          <w:rFonts w:cs="Times New Roman"/>
          <w:sz w:val="24"/>
          <w:szCs w:val="24"/>
          <w:lang w:val="en-GB"/>
        </w:rPr>
      </w:pPr>
      <w:r w:rsidRPr="00586F0C">
        <w:rPr>
          <w:rFonts w:cs="Times New Roman"/>
          <w:sz w:val="24"/>
          <w:szCs w:val="24"/>
          <w:lang w:val="en-GB"/>
        </w:rPr>
        <w:tab/>
        <w:t>public policy development and coordination (strategic planning of government policies, quality of regulation and public policies in general, including requirements for evidence–based policy making and public participation);</w:t>
      </w:r>
    </w:p>
    <w:p w:rsidR="00586F0C" w:rsidRPr="00586F0C" w:rsidRDefault="00586F0C" w:rsidP="00586F0C">
      <w:pPr>
        <w:spacing w:after="0" w:line="360" w:lineRule="auto"/>
        <w:jc w:val="both"/>
        <w:rPr>
          <w:rFonts w:cs="Times New Roman"/>
          <w:sz w:val="24"/>
          <w:szCs w:val="24"/>
          <w:lang w:val="en-GB"/>
        </w:rPr>
      </w:pPr>
      <w:r w:rsidRPr="00586F0C">
        <w:rPr>
          <w:rFonts w:cs="Times New Roman"/>
          <w:sz w:val="24"/>
          <w:szCs w:val="24"/>
          <w:lang w:val="en-GB"/>
        </w:rPr>
        <w:tab/>
      </w:r>
      <w:proofErr w:type="gramStart"/>
      <w:r w:rsidRPr="00586F0C">
        <w:rPr>
          <w:rFonts w:cs="Times New Roman"/>
          <w:sz w:val="24"/>
          <w:szCs w:val="24"/>
          <w:lang w:val="en-GB"/>
        </w:rPr>
        <w:t>modernization</w:t>
      </w:r>
      <w:proofErr w:type="gramEnd"/>
      <w:r w:rsidRPr="00586F0C">
        <w:rPr>
          <w:rFonts w:cs="Times New Roman"/>
          <w:sz w:val="24"/>
          <w:szCs w:val="24"/>
          <w:lang w:val="en-GB"/>
        </w:rPr>
        <w:t xml:space="preserve"> of public service and human resources management;</w:t>
      </w:r>
    </w:p>
    <w:p w:rsidR="00586F0C" w:rsidRPr="00586F0C" w:rsidRDefault="00586F0C" w:rsidP="00586F0C">
      <w:pPr>
        <w:spacing w:after="0" w:line="360" w:lineRule="auto"/>
        <w:jc w:val="both"/>
        <w:rPr>
          <w:rFonts w:cs="Times New Roman"/>
          <w:sz w:val="24"/>
          <w:szCs w:val="24"/>
          <w:lang w:val="en-GB"/>
        </w:rPr>
      </w:pPr>
      <w:r w:rsidRPr="00586F0C">
        <w:rPr>
          <w:rFonts w:cs="Times New Roman"/>
          <w:sz w:val="24"/>
          <w:szCs w:val="24"/>
          <w:lang w:val="en-GB"/>
        </w:rPr>
        <w:tab/>
        <w:t>ensuring accountability of public administration (transparency of work, free access to public information, transparent organization of public administration with clear lines of accountability, possibility of judicial review);</w:t>
      </w:r>
    </w:p>
    <w:p w:rsidR="00586F0C" w:rsidRPr="00586F0C" w:rsidRDefault="00586F0C" w:rsidP="00586F0C">
      <w:pPr>
        <w:spacing w:after="0" w:line="360" w:lineRule="auto"/>
        <w:jc w:val="both"/>
        <w:rPr>
          <w:rFonts w:cs="Times New Roman"/>
          <w:sz w:val="24"/>
          <w:szCs w:val="24"/>
          <w:lang w:val="en-GB"/>
        </w:rPr>
      </w:pPr>
      <w:r w:rsidRPr="00586F0C">
        <w:rPr>
          <w:rFonts w:cs="Times New Roman"/>
          <w:sz w:val="24"/>
          <w:szCs w:val="24"/>
          <w:lang w:val="en-GB"/>
        </w:rPr>
        <w:lastRenderedPageBreak/>
        <w:tab/>
      </w:r>
      <w:proofErr w:type="gramStart"/>
      <w:r w:rsidRPr="00586F0C">
        <w:rPr>
          <w:rFonts w:cs="Times New Roman"/>
          <w:sz w:val="24"/>
          <w:szCs w:val="24"/>
          <w:lang w:val="en-GB"/>
        </w:rPr>
        <w:t>service</w:t>
      </w:r>
      <w:proofErr w:type="gramEnd"/>
      <w:r w:rsidRPr="00586F0C">
        <w:rPr>
          <w:rFonts w:cs="Times New Roman"/>
          <w:sz w:val="24"/>
          <w:szCs w:val="24"/>
          <w:lang w:val="en-GB"/>
        </w:rPr>
        <w:t xml:space="preserve"> delivery (delivery standards and safeguards of administrative procedures, quality of administrative services, e–government);</w:t>
      </w:r>
    </w:p>
    <w:p w:rsidR="00586F0C" w:rsidRPr="00586F0C" w:rsidRDefault="00586F0C" w:rsidP="00586F0C">
      <w:pPr>
        <w:spacing w:after="0" w:line="360" w:lineRule="auto"/>
        <w:jc w:val="both"/>
        <w:rPr>
          <w:rFonts w:cs="Times New Roman"/>
          <w:sz w:val="24"/>
          <w:szCs w:val="24"/>
          <w:lang w:val="en-GB"/>
        </w:rPr>
      </w:pPr>
      <w:r w:rsidRPr="00586F0C">
        <w:rPr>
          <w:rFonts w:cs="Times New Roman"/>
          <w:sz w:val="24"/>
          <w:szCs w:val="24"/>
          <w:lang w:val="en-GB"/>
        </w:rPr>
        <w:tab/>
        <w:t>public financial management (administration of taxes, preparation of state budget, execution of state budget, public procurement system, internal audit, accounting and reporting, and external audit)</w:t>
      </w:r>
      <w:r w:rsidRPr="00586F0C">
        <w:rPr>
          <w:rStyle w:val="Odwoanieprzypisudolnego"/>
          <w:rFonts w:cs="Times New Roman"/>
          <w:sz w:val="24"/>
          <w:szCs w:val="24"/>
          <w:lang w:val="en-GB"/>
        </w:rPr>
        <w:footnoteReference w:id="6"/>
      </w:r>
      <w:r w:rsidRPr="00586F0C">
        <w:rPr>
          <w:rFonts w:cs="Times New Roman"/>
          <w:sz w:val="24"/>
          <w:szCs w:val="24"/>
          <w:lang w:val="en-GB"/>
        </w:rPr>
        <w:t>.</w:t>
      </w:r>
    </w:p>
    <w:p w:rsidR="00586F0C" w:rsidRPr="00586F0C" w:rsidRDefault="00586F0C" w:rsidP="00586F0C">
      <w:pPr>
        <w:spacing w:after="0" w:line="360" w:lineRule="auto"/>
        <w:ind w:firstLine="708"/>
        <w:jc w:val="both"/>
        <w:rPr>
          <w:rFonts w:cs="Times New Roman"/>
          <w:sz w:val="24"/>
          <w:szCs w:val="24"/>
          <w:lang w:val="en-GB"/>
        </w:rPr>
      </w:pPr>
      <w:r w:rsidRPr="00586F0C">
        <w:rPr>
          <w:rFonts w:cs="Times New Roman"/>
          <w:sz w:val="24"/>
          <w:szCs w:val="24"/>
          <w:lang w:val="en-GB"/>
        </w:rPr>
        <w:t>Public administration reform (</w:t>
      </w:r>
      <w:r w:rsidRPr="00586F0C">
        <w:rPr>
          <w:rFonts w:eastAsia="Arial Unicode MS"/>
          <w:sz w:val="24"/>
          <w:szCs w:val="24"/>
          <w:lang w:val="en-GB"/>
        </w:rPr>
        <w:t xml:space="preserve">hereinafter – PAR) </w:t>
      </w:r>
      <w:r w:rsidRPr="00586F0C">
        <w:rPr>
          <w:rFonts w:cs="Times New Roman"/>
          <w:sz w:val="24"/>
          <w:szCs w:val="24"/>
          <w:lang w:val="en-GB"/>
        </w:rPr>
        <w:t xml:space="preserve">is one of the key reforms in a transition country pursuing comprehensive reforms in various policy areas. So, </w:t>
      </w:r>
      <w:r w:rsidRPr="00586F0C">
        <w:rPr>
          <w:rFonts w:cs="Times New Roman"/>
          <w:sz w:val="24"/>
          <w:szCs w:val="24"/>
          <w:lang w:val="en-US"/>
        </w:rPr>
        <w:t xml:space="preserve">it is </w:t>
      </w:r>
      <w:r w:rsidRPr="00586F0C">
        <w:rPr>
          <w:rFonts w:cs="Times New Roman"/>
          <w:sz w:val="24"/>
          <w:szCs w:val="24"/>
          <w:lang w:val="en-GB"/>
        </w:rPr>
        <w:t>one of the main processes in the transition from a communist regime to a functioning free–market democracy, it is the reform of the entire government system. In Europe, these reforms have usually been evolving simultaneously with the international and European integration of former communist states</w:t>
      </w:r>
      <w:r w:rsidRPr="00586F0C">
        <w:rPr>
          <w:rStyle w:val="Odwoanieprzypisudolnego"/>
          <w:rFonts w:cs="Times New Roman"/>
          <w:sz w:val="24"/>
          <w:szCs w:val="24"/>
          <w:lang w:val="en-GB"/>
        </w:rPr>
        <w:footnoteReference w:id="7"/>
      </w:r>
      <w:r w:rsidRPr="00586F0C">
        <w:rPr>
          <w:rFonts w:cs="Times New Roman"/>
          <w:sz w:val="24"/>
          <w:szCs w:val="24"/>
          <w:lang w:val="en-GB"/>
        </w:rPr>
        <w:t>. The reform of public administration aims at the establishment of an efficient system of public administration able to provide high quality public services. To achieve the aim of the reform it is important to implement the ideology of «serving the society» as the operating principle of the public administration.</w:t>
      </w:r>
    </w:p>
    <w:p w:rsidR="00586F0C" w:rsidRPr="00586F0C" w:rsidRDefault="00586F0C" w:rsidP="00586F0C">
      <w:pPr>
        <w:spacing w:after="0" w:line="360" w:lineRule="auto"/>
        <w:ind w:firstLine="709"/>
        <w:jc w:val="both"/>
        <w:rPr>
          <w:rFonts w:cs="Times New Roman"/>
          <w:sz w:val="24"/>
          <w:szCs w:val="24"/>
          <w:lang w:val="en-GB"/>
        </w:rPr>
      </w:pPr>
      <w:r w:rsidRPr="00586F0C">
        <w:rPr>
          <w:rFonts w:cs="Times New Roman"/>
          <w:sz w:val="24"/>
          <w:szCs w:val="24"/>
          <w:lang w:val="en-GB"/>
        </w:rPr>
        <w:t xml:space="preserve">Positive changes in Ukrainian administrative legislation have appeared with Strategy of Public Administration Reform in Ukraine for 2016–2020 </w:t>
      </w:r>
      <w:r w:rsidRPr="00586F0C">
        <w:rPr>
          <w:rFonts w:eastAsia="Arial Unicode MS"/>
          <w:sz w:val="24"/>
          <w:szCs w:val="24"/>
          <w:lang w:val="en-GB"/>
        </w:rPr>
        <w:t>(hereinafter – Strategy)</w:t>
      </w:r>
      <w:r w:rsidRPr="00586F0C">
        <w:rPr>
          <w:rFonts w:cs="Times New Roman"/>
          <w:sz w:val="24"/>
          <w:szCs w:val="24"/>
          <w:lang w:val="en-GB"/>
        </w:rPr>
        <w:t xml:space="preserve"> approved by Order of the Cabinet of Ministers of Ukraine of 24 June 2016 Nr.474–p</w:t>
      </w:r>
      <w:r w:rsidRPr="00586F0C">
        <w:rPr>
          <w:rFonts w:eastAsia="Arial Unicode MS"/>
          <w:sz w:val="24"/>
          <w:szCs w:val="24"/>
          <w:lang w:val="en-GB"/>
        </w:rPr>
        <w:t>)</w:t>
      </w:r>
      <w:r w:rsidRPr="00586F0C">
        <w:rPr>
          <w:rStyle w:val="Odwoanieprzypisudolnego"/>
          <w:rFonts w:eastAsia="Arial Unicode MS"/>
          <w:sz w:val="24"/>
          <w:szCs w:val="24"/>
          <w:lang w:val="en-GB"/>
        </w:rPr>
        <w:footnoteReference w:id="8"/>
      </w:r>
      <w:r w:rsidRPr="00586F0C">
        <w:rPr>
          <w:rFonts w:cs="Times New Roman"/>
          <w:sz w:val="24"/>
          <w:szCs w:val="24"/>
          <w:lang w:val="en-GB"/>
        </w:rPr>
        <w:t xml:space="preserve">. </w:t>
      </w:r>
    </w:p>
    <w:p w:rsidR="00586F0C" w:rsidRPr="00586F0C" w:rsidRDefault="00586F0C" w:rsidP="00586F0C">
      <w:pPr>
        <w:spacing w:after="0" w:line="360" w:lineRule="auto"/>
        <w:ind w:firstLine="709"/>
        <w:jc w:val="both"/>
        <w:rPr>
          <w:rFonts w:cs="Times New Roman"/>
          <w:sz w:val="24"/>
          <w:szCs w:val="24"/>
          <w:lang w:val="en-GB"/>
        </w:rPr>
      </w:pPr>
      <w:r w:rsidRPr="00586F0C">
        <w:rPr>
          <w:rFonts w:cs="Times New Roman"/>
          <w:sz w:val="24"/>
          <w:szCs w:val="24"/>
          <w:lang w:val="en-GB"/>
        </w:rPr>
        <w:t xml:space="preserve">The </w:t>
      </w:r>
      <w:r w:rsidRPr="00586F0C">
        <w:rPr>
          <w:rFonts w:eastAsia="Arial Unicode MS"/>
          <w:sz w:val="24"/>
          <w:szCs w:val="24"/>
          <w:lang w:val="en-GB"/>
        </w:rPr>
        <w:t>Strategy</w:t>
      </w:r>
      <w:r w:rsidRPr="00586F0C">
        <w:rPr>
          <w:rFonts w:cs="Times New Roman"/>
          <w:sz w:val="24"/>
          <w:szCs w:val="24"/>
          <w:lang w:val="en-GB"/>
        </w:rPr>
        <w:t xml:space="preserve"> is a uniform umbrella strategic document of the Government of Ukraine which includes development guidelines for the next five years.</w:t>
      </w:r>
      <w:r w:rsidRPr="00586F0C">
        <w:rPr>
          <w:sz w:val="24"/>
          <w:szCs w:val="24"/>
          <w:lang w:val="en-GB"/>
        </w:rPr>
        <w:t xml:space="preserve"> </w:t>
      </w:r>
      <w:r w:rsidRPr="00586F0C">
        <w:rPr>
          <w:rFonts w:cs="Times New Roman"/>
          <w:sz w:val="24"/>
          <w:szCs w:val="24"/>
          <w:lang w:val="en-GB"/>
        </w:rPr>
        <w:t xml:space="preserve">The purpose of this Strategy was to improve the system of public administration and thus improve the country's competitiveness. Bearing in mind the European choice and perspective of Ukraine, this Strategy tried to follow, as regards the transformation of public administration, the European standards of good administration. </w:t>
      </w:r>
    </w:p>
    <w:p w:rsidR="00586F0C" w:rsidRPr="00586F0C" w:rsidRDefault="00586F0C" w:rsidP="00586F0C">
      <w:pPr>
        <w:spacing w:after="0" w:line="360" w:lineRule="auto"/>
        <w:jc w:val="both"/>
        <w:rPr>
          <w:rFonts w:cs="Times New Roman"/>
          <w:sz w:val="24"/>
          <w:szCs w:val="24"/>
          <w:lang w:val="en-GB"/>
        </w:rPr>
      </w:pPr>
      <w:r w:rsidRPr="00586F0C">
        <w:rPr>
          <w:rFonts w:cs="Times New Roman"/>
          <w:sz w:val="24"/>
          <w:szCs w:val="24"/>
          <w:lang w:val="en-GB"/>
        </w:rPr>
        <w:t xml:space="preserve">According to the Association Agreement, the Strategy is based on common values, namely respect for democratic principles, the rule of law, and good governance. Article 3 stipulates </w:t>
      </w:r>
      <w:r w:rsidRPr="00586F0C">
        <w:rPr>
          <w:rFonts w:cs="Times New Roman"/>
          <w:b/>
          <w:i/>
          <w:sz w:val="24"/>
          <w:szCs w:val="24"/>
          <w:lang w:val="en-GB"/>
        </w:rPr>
        <w:t>good governance</w:t>
      </w:r>
      <w:r w:rsidRPr="00586F0C">
        <w:rPr>
          <w:rFonts w:cs="Times New Roman"/>
          <w:sz w:val="24"/>
          <w:szCs w:val="24"/>
          <w:lang w:val="en-GB"/>
        </w:rPr>
        <w:t xml:space="preserve"> as one of the principles central to enhance the relationship between the parties</w:t>
      </w:r>
      <w:r w:rsidRPr="00586F0C">
        <w:rPr>
          <w:rStyle w:val="Odwoanieprzypisudolnego"/>
          <w:rFonts w:cs="Times New Roman"/>
          <w:sz w:val="24"/>
          <w:szCs w:val="24"/>
          <w:lang w:val="en-GB"/>
        </w:rPr>
        <w:footnoteReference w:id="9"/>
      </w:r>
      <w:r w:rsidRPr="00586F0C">
        <w:rPr>
          <w:rFonts w:cs="Times New Roman"/>
          <w:sz w:val="24"/>
          <w:szCs w:val="24"/>
          <w:lang w:val="en-GB"/>
        </w:rPr>
        <w:t>.</w:t>
      </w:r>
    </w:p>
    <w:p w:rsidR="00586F0C" w:rsidRPr="00586F0C" w:rsidRDefault="00586F0C" w:rsidP="00586F0C">
      <w:pPr>
        <w:spacing w:after="0" w:line="360" w:lineRule="auto"/>
        <w:ind w:firstLine="708"/>
        <w:jc w:val="both"/>
        <w:rPr>
          <w:rFonts w:cs="Times New Roman"/>
          <w:sz w:val="24"/>
          <w:szCs w:val="24"/>
          <w:lang w:val="en-GB"/>
        </w:rPr>
      </w:pPr>
      <w:proofErr w:type="gramStart"/>
      <w:r w:rsidRPr="00586F0C">
        <w:rPr>
          <w:rFonts w:cs="Times New Roman"/>
          <w:b/>
          <w:i/>
          <w:sz w:val="24"/>
          <w:szCs w:val="24"/>
          <w:lang w:val="en-GB"/>
        </w:rPr>
        <w:t>Conclusions</w:t>
      </w:r>
      <w:r w:rsidRPr="00586F0C">
        <w:rPr>
          <w:rFonts w:cs="Times New Roman"/>
          <w:i/>
          <w:sz w:val="24"/>
          <w:szCs w:val="24"/>
          <w:lang w:val="en-GB"/>
        </w:rPr>
        <w:t>.</w:t>
      </w:r>
      <w:proofErr w:type="gramEnd"/>
      <w:r w:rsidRPr="00586F0C">
        <w:rPr>
          <w:rFonts w:cs="Times New Roman"/>
          <w:sz w:val="24"/>
          <w:szCs w:val="24"/>
          <w:lang w:val="en-GB"/>
        </w:rPr>
        <w:t xml:space="preserve"> An efficient public administration is one of the main factors of competitiveness of a country. Effective activity of the official authorities of Ukraine on public </w:t>
      </w:r>
      <w:r w:rsidRPr="00586F0C">
        <w:rPr>
          <w:rFonts w:cs="Times New Roman"/>
          <w:sz w:val="24"/>
          <w:szCs w:val="24"/>
          <w:lang w:val="en-GB"/>
        </w:rPr>
        <w:lastRenderedPageBreak/>
        <w:t xml:space="preserve">policy development in various areas is possible with a professional, accountable, efficient and effective system of government agencies and civil servants. </w:t>
      </w:r>
    </w:p>
    <w:p w:rsidR="00586F0C" w:rsidRPr="00586F0C" w:rsidRDefault="00586F0C" w:rsidP="00586F0C">
      <w:pPr>
        <w:spacing w:after="0" w:line="360" w:lineRule="auto"/>
        <w:ind w:firstLine="708"/>
        <w:jc w:val="both"/>
        <w:rPr>
          <w:rFonts w:cs="Times New Roman"/>
          <w:sz w:val="24"/>
          <w:szCs w:val="24"/>
          <w:lang w:val="en-GB"/>
        </w:rPr>
      </w:pPr>
      <w:r w:rsidRPr="00586F0C">
        <w:rPr>
          <w:rFonts w:cs="Times New Roman"/>
          <w:sz w:val="24"/>
          <w:szCs w:val="24"/>
          <w:lang w:val="en-GB"/>
        </w:rPr>
        <w:t>Reducing administrative burden of government regulation</w:t>
      </w:r>
      <w:r w:rsidRPr="00586F0C">
        <w:rPr>
          <w:rFonts w:cs="Times New Roman"/>
          <w:sz w:val="24"/>
          <w:szCs w:val="24"/>
          <w:lang w:val="uk-UA"/>
        </w:rPr>
        <w:t>;</w:t>
      </w:r>
      <w:r w:rsidRPr="00586F0C">
        <w:rPr>
          <w:rFonts w:cs="Times New Roman"/>
          <w:sz w:val="24"/>
          <w:szCs w:val="24"/>
          <w:lang w:val="en-GB"/>
        </w:rPr>
        <w:t xml:space="preserve"> improving quality of delivery of administrative services</w:t>
      </w:r>
      <w:r w:rsidRPr="00586F0C">
        <w:rPr>
          <w:rFonts w:cs="Times New Roman"/>
          <w:sz w:val="24"/>
          <w:szCs w:val="24"/>
          <w:lang w:val="uk-UA"/>
        </w:rPr>
        <w:t>;</w:t>
      </w:r>
      <w:r w:rsidRPr="00586F0C">
        <w:rPr>
          <w:rFonts w:cs="Times New Roman"/>
          <w:sz w:val="24"/>
          <w:szCs w:val="24"/>
          <w:lang w:val="en-GB"/>
        </w:rPr>
        <w:t xml:space="preserve"> ensuring legality and predictability of administrative actions</w:t>
      </w:r>
      <w:r w:rsidRPr="00586F0C">
        <w:rPr>
          <w:rFonts w:cs="Times New Roman"/>
          <w:sz w:val="24"/>
          <w:szCs w:val="24"/>
          <w:lang w:val="uk-UA"/>
        </w:rPr>
        <w:t>;</w:t>
      </w:r>
      <w:r w:rsidRPr="00586F0C">
        <w:rPr>
          <w:rFonts w:cs="Times New Roman"/>
          <w:sz w:val="24"/>
          <w:szCs w:val="24"/>
          <w:lang w:val="en-GB"/>
        </w:rPr>
        <w:t xml:space="preserve"> forming a stable and efficient organization and functioning of executive authorities</w:t>
      </w:r>
      <w:r w:rsidRPr="00586F0C">
        <w:rPr>
          <w:rFonts w:cs="Times New Roman"/>
          <w:sz w:val="24"/>
          <w:szCs w:val="24"/>
          <w:lang w:val="uk-UA"/>
        </w:rPr>
        <w:t>;</w:t>
      </w:r>
      <w:r w:rsidRPr="00586F0C">
        <w:rPr>
          <w:rFonts w:cs="Times New Roman"/>
          <w:sz w:val="24"/>
          <w:szCs w:val="24"/>
          <w:lang w:val="en-GB"/>
        </w:rPr>
        <w:t xml:space="preserve"> organizing a professional, politically neutral and open public civil service (the service in executive and local self–governance bodies)</w:t>
      </w:r>
      <w:r w:rsidRPr="00586F0C">
        <w:rPr>
          <w:rFonts w:cs="Times New Roman"/>
          <w:sz w:val="24"/>
          <w:szCs w:val="24"/>
          <w:lang w:val="uk-UA"/>
        </w:rPr>
        <w:t>;</w:t>
      </w:r>
      <w:r w:rsidRPr="00586F0C">
        <w:rPr>
          <w:rFonts w:cs="Times New Roman"/>
          <w:sz w:val="24"/>
          <w:szCs w:val="24"/>
          <w:lang w:val="en-GB"/>
        </w:rPr>
        <w:t xml:space="preserve"> decentralizing powers and financial resources</w:t>
      </w:r>
      <w:r w:rsidRPr="00586F0C">
        <w:rPr>
          <w:rFonts w:cs="Times New Roman"/>
          <w:sz w:val="24"/>
          <w:szCs w:val="24"/>
          <w:lang w:val="uk-UA"/>
        </w:rPr>
        <w:t>;</w:t>
      </w:r>
      <w:r w:rsidRPr="00586F0C">
        <w:rPr>
          <w:rFonts w:cs="Times New Roman"/>
          <w:sz w:val="24"/>
          <w:szCs w:val="24"/>
          <w:lang w:val="en-GB"/>
        </w:rPr>
        <w:t xml:space="preserve"> establishing the system of capable local self–governance</w:t>
      </w:r>
      <w:r w:rsidRPr="00586F0C">
        <w:rPr>
          <w:rFonts w:cs="Times New Roman"/>
          <w:sz w:val="24"/>
          <w:szCs w:val="24"/>
          <w:lang w:val="uk-UA"/>
        </w:rPr>
        <w:t>;</w:t>
      </w:r>
      <w:r w:rsidRPr="00586F0C">
        <w:rPr>
          <w:rFonts w:cs="Times New Roman"/>
          <w:sz w:val="24"/>
          <w:szCs w:val="24"/>
          <w:lang w:val="en-GB"/>
        </w:rPr>
        <w:t xml:space="preserve"> strengthening the status of citizens in their relations with the public administration</w:t>
      </w:r>
      <w:r w:rsidRPr="00586F0C">
        <w:rPr>
          <w:rFonts w:cs="Times New Roman"/>
          <w:sz w:val="24"/>
          <w:szCs w:val="24"/>
          <w:lang w:val="uk-UA"/>
        </w:rPr>
        <w:t>;</w:t>
      </w:r>
      <w:r w:rsidRPr="00586F0C">
        <w:rPr>
          <w:rFonts w:cs="Times New Roman"/>
          <w:sz w:val="24"/>
          <w:szCs w:val="24"/>
          <w:lang w:val="en-GB"/>
        </w:rPr>
        <w:t xml:space="preserve"> adopting Administrative Procedure Codex of Ukraine and other the laws and by–laws within </w:t>
      </w:r>
      <w:r w:rsidRPr="00586F0C">
        <w:rPr>
          <w:rFonts w:eastAsia="Arial Unicode MS" w:cs="Times New Roman"/>
          <w:sz w:val="24"/>
          <w:szCs w:val="24"/>
          <w:lang w:val="en-GB"/>
        </w:rPr>
        <w:t>European Administrative Space</w:t>
      </w:r>
      <w:r w:rsidRPr="00586F0C">
        <w:rPr>
          <w:rFonts w:eastAsia="Arial Unicode MS" w:cs="Times New Roman"/>
          <w:sz w:val="24"/>
          <w:szCs w:val="24"/>
          <w:lang w:val="uk-UA"/>
        </w:rPr>
        <w:t>;</w:t>
      </w:r>
      <w:r w:rsidRPr="00586F0C">
        <w:rPr>
          <w:rFonts w:cs="Times New Roman"/>
          <w:sz w:val="24"/>
          <w:szCs w:val="24"/>
          <w:lang w:val="en-GB"/>
        </w:rPr>
        <w:t xml:space="preserve"> implement</w:t>
      </w:r>
      <w:proofErr w:type="spellStart"/>
      <w:r w:rsidRPr="00586F0C">
        <w:rPr>
          <w:rFonts w:cs="Times New Roman"/>
          <w:sz w:val="24"/>
          <w:szCs w:val="24"/>
          <w:lang w:val="en-US"/>
        </w:rPr>
        <w:t>ing</w:t>
      </w:r>
      <w:proofErr w:type="spellEnd"/>
      <w:r w:rsidRPr="00586F0C">
        <w:rPr>
          <w:rFonts w:cs="Times New Roman"/>
          <w:sz w:val="24"/>
          <w:szCs w:val="24"/>
          <w:lang w:val="en-GB"/>
        </w:rPr>
        <w:t xml:space="preserve"> effectiveness evaluation of public policies, activities of certain public agencies in order to ensure European principles of good governance (openness, transparency, accountability, efficiency, effectiveness); ensuring executive power operation in Ukraine in line with EU principles of good governance (participation, openness, accountability, effectiveness, coherence) improve a Ukrainian's position in global competitiveness rankings. Effective public administration is also one of the main prerequisites of democratic governance based on the principles of the rule of law. Reform of the public administration is the fulfilment of a social order for efficient, responsible and open executive power and territorial self–governance institutions, which means proper governance. </w:t>
      </w:r>
    </w:p>
    <w:p w:rsidR="00586F0C" w:rsidRPr="00586F0C" w:rsidRDefault="00586F0C" w:rsidP="00586F0C">
      <w:pPr>
        <w:pStyle w:val="Akapitzlist"/>
        <w:tabs>
          <w:tab w:val="left" w:pos="709"/>
        </w:tabs>
        <w:spacing w:after="0" w:line="360" w:lineRule="auto"/>
        <w:ind w:left="0" w:firstLine="709"/>
        <w:jc w:val="both"/>
        <w:rPr>
          <w:rFonts w:cs="Times New Roman"/>
          <w:sz w:val="24"/>
          <w:szCs w:val="24"/>
          <w:lang w:val="en-GB"/>
        </w:rPr>
      </w:pPr>
      <w:r w:rsidRPr="00586F0C">
        <w:rPr>
          <w:rFonts w:cs="Times New Roman"/>
          <w:sz w:val="24"/>
          <w:szCs w:val="24"/>
          <w:lang w:val="en-US"/>
        </w:rPr>
        <w:t xml:space="preserve">In the light of our analysis to this point, it appears that the Ukrainian Law and </w:t>
      </w:r>
      <w:r w:rsidRPr="00586F0C">
        <w:rPr>
          <w:rFonts w:eastAsia="Arial Unicode MS"/>
          <w:sz w:val="24"/>
          <w:szCs w:val="24"/>
          <w:lang w:val="en-GB"/>
        </w:rPr>
        <w:t xml:space="preserve">Ukrainian`s public administration system has not been carried out fully by the Principles of Public Administration (SIGMA). But adopting the </w:t>
      </w:r>
      <w:r w:rsidRPr="00586F0C">
        <w:rPr>
          <w:rFonts w:cs="Times New Roman"/>
          <w:sz w:val="24"/>
          <w:szCs w:val="24"/>
          <w:lang w:val="en-GB"/>
        </w:rPr>
        <w:t>Strategy of Public Administration Reform in Ukraine for 2016–2020 and other Laws and by–Laws is first and very important step to widen domestic legal doctrine of administrative law and current legislation of Ukraine with experience of European standards of public administration, providing modern tools for implementation of «good governance» and «good administration» practices.</w:t>
      </w:r>
    </w:p>
    <w:sectPr w:rsidR="00586F0C" w:rsidRPr="00586F0C" w:rsidSect="00C601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CF5" w:rsidRDefault="00BF3CF5" w:rsidP="00586F0C">
      <w:pPr>
        <w:spacing w:after="0" w:line="240" w:lineRule="auto"/>
      </w:pPr>
      <w:r>
        <w:separator/>
      </w:r>
    </w:p>
  </w:endnote>
  <w:endnote w:type="continuationSeparator" w:id="0">
    <w:p w:rsidR="00BF3CF5" w:rsidRDefault="00BF3CF5" w:rsidP="0058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CF5" w:rsidRDefault="00BF3CF5" w:rsidP="00586F0C">
      <w:pPr>
        <w:spacing w:after="0" w:line="240" w:lineRule="auto"/>
      </w:pPr>
      <w:r>
        <w:separator/>
      </w:r>
    </w:p>
  </w:footnote>
  <w:footnote w:type="continuationSeparator" w:id="0">
    <w:p w:rsidR="00BF3CF5" w:rsidRDefault="00BF3CF5" w:rsidP="00586F0C">
      <w:pPr>
        <w:spacing w:after="0" w:line="240" w:lineRule="auto"/>
      </w:pPr>
      <w:r>
        <w:continuationSeparator/>
      </w:r>
    </w:p>
  </w:footnote>
  <w:footnote w:id="1">
    <w:p w:rsidR="00586F0C" w:rsidRPr="00420439" w:rsidRDefault="00586F0C" w:rsidP="00586F0C">
      <w:pPr>
        <w:pStyle w:val="Tekstprzypisudolnego"/>
        <w:ind w:firstLine="709"/>
        <w:jc w:val="both"/>
        <w:rPr>
          <w:rFonts w:cs="Times New Roman"/>
          <w:sz w:val="22"/>
          <w:szCs w:val="22"/>
          <w:lang w:val="en-GB"/>
        </w:rPr>
      </w:pPr>
      <w:r w:rsidRPr="00420439">
        <w:rPr>
          <w:rStyle w:val="Odwoanieprzypisudolnego"/>
          <w:rFonts w:cs="Times New Roman"/>
          <w:sz w:val="22"/>
          <w:szCs w:val="22"/>
        </w:rPr>
        <w:footnoteRef/>
      </w:r>
      <w:r w:rsidRPr="00420439">
        <w:rPr>
          <w:rFonts w:cs="Times New Roman"/>
          <w:sz w:val="22"/>
          <w:szCs w:val="22"/>
          <w:lang w:val="en-GB"/>
        </w:rPr>
        <w:t xml:space="preserve"> </w:t>
      </w:r>
      <w:r w:rsidRPr="00420439">
        <w:rPr>
          <w:rFonts w:cs="Times New Roman"/>
          <w:i/>
          <w:sz w:val="22"/>
          <w:szCs w:val="22"/>
          <w:lang w:val="en-GB"/>
        </w:rPr>
        <w:t>The Association Agreement between the European Union and the European Atomic Energy Community and their Member States, on the one part, and Ukraine, on the other part</w:t>
      </w:r>
      <w:r w:rsidRPr="00420439">
        <w:rPr>
          <w:rFonts w:cs="Times New Roman"/>
          <w:sz w:val="22"/>
          <w:szCs w:val="22"/>
          <w:lang w:val="en-GB"/>
        </w:rPr>
        <w:t>, O</w:t>
      </w:r>
      <w:proofErr w:type="spellStart"/>
      <w:r w:rsidRPr="00420439">
        <w:rPr>
          <w:rFonts w:cs="Times New Roman"/>
          <w:sz w:val="22"/>
          <w:szCs w:val="22"/>
          <w:lang w:val="en-US"/>
        </w:rPr>
        <w:t>fficial</w:t>
      </w:r>
      <w:proofErr w:type="spellEnd"/>
      <w:r w:rsidRPr="00420439">
        <w:rPr>
          <w:rFonts w:cs="Times New Roman"/>
          <w:sz w:val="22"/>
          <w:szCs w:val="22"/>
          <w:lang w:val="en-US"/>
        </w:rPr>
        <w:t xml:space="preserve"> </w:t>
      </w:r>
      <w:r w:rsidRPr="00420439">
        <w:rPr>
          <w:rFonts w:cs="Times New Roman"/>
          <w:sz w:val="22"/>
          <w:szCs w:val="22"/>
          <w:lang w:val="en-GB"/>
        </w:rPr>
        <w:t>Journal L 161, 29.5.2014, p. 3–2137.</w:t>
      </w:r>
    </w:p>
  </w:footnote>
  <w:footnote w:id="2">
    <w:p w:rsidR="00586F0C" w:rsidRPr="00420439" w:rsidRDefault="00586F0C" w:rsidP="00586F0C">
      <w:pPr>
        <w:pStyle w:val="Tekstprzypisudolnego"/>
        <w:ind w:firstLine="709"/>
        <w:jc w:val="both"/>
        <w:rPr>
          <w:rFonts w:cs="Times New Roman"/>
          <w:sz w:val="22"/>
          <w:szCs w:val="22"/>
          <w:lang w:val="en-GB"/>
        </w:rPr>
      </w:pPr>
      <w:r w:rsidRPr="00420439">
        <w:rPr>
          <w:rStyle w:val="Odwoanieprzypisudolnego"/>
          <w:rFonts w:cs="Times New Roman"/>
          <w:sz w:val="22"/>
          <w:szCs w:val="22"/>
        </w:rPr>
        <w:footnoteRef/>
      </w:r>
      <w:r w:rsidRPr="00420439">
        <w:rPr>
          <w:rFonts w:cs="Times New Roman"/>
          <w:sz w:val="22"/>
          <w:szCs w:val="22"/>
          <w:lang w:val="en-GB"/>
        </w:rPr>
        <w:t xml:space="preserve"> </w:t>
      </w:r>
      <w:r w:rsidRPr="00420439">
        <w:rPr>
          <w:rFonts w:cs="Times New Roman"/>
          <w:i/>
          <w:sz w:val="22"/>
          <w:szCs w:val="22"/>
          <w:lang w:val="en-GB"/>
        </w:rPr>
        <w:t>Ukraine ratifies EU association agreement</w:t>
      </w:r>
      <w:r w:rsidRPr="00420439">
        <w:rPr>
          <w:rFonts w:cs="Times New Roman"/>
          <w:color w:val="000000"/>
          <w:sz w:val="22"/>
          <w:szCs w:val="22"/>
          <w:shd w:val="clear" w:color="auto" w:fill="F7F7F7"/>
          <w:lang w:val="en-GB"/>
        </w:rPr>
        <w:t>,</w:t>
      </w:r>
      <w:r w:rsidRPr="00420439">
        <w:rPr>
          <w:rStyle w:val="apple-converted-space"/>
          <w:rFonts w:cs="Times New Roman"/>
          <w:color w:val="000000"/>
          <w:sz w:val="22"/>
          <w:szCs w:val="22"/>
          <w:shd w:val="clear" w:color="auto" w:fill="F7F7F7"/>
          <w:lang w:val="en-GB"/>
        </w:rPr>
        <w:t xml:space="preserve"> </w:t>
      </w:r>
      <w:r w:rsidRPr="00420439">
        <w:rPr>
          <w:rFonts w:cs="Times New Roman"/>
          <w:sz w:val="22"/>
          <w:szCs w:val="22"/>
          <w:lang w:val="en-GB"/>
        </w:rPr>
        <w:t xml:space="preserve">Deutsche </w:t>
      </w:r>
      <w:proofErr w:type="spellStart"/>
      <w:r w:rsidRPr="00420439">
        <w:rPr>
          <w:rFonts w:cs="Times New Roman"/>
          <w:sz w:val="22"/>
          <w:szCs w:val="22"/>
          <w:lang w:val="en-GB"/>
        </w:rPr>
        <w:t>Welle</w:t>
      </w:r>
      <w:proofErr w:type="spellEnd"/>
      <w:r w:rsidRPr="00420439">
        <w:rPr>
          <w:rFonts w:cs="Times New Roman"/>
          <w:sz w:val="22"/>
          <w:szCs w:val="22"/>
          <w:lang w:val="en-GB"/>
        </w:rPr>
        <w:t>, published 16.09.2014.</w:t>
      </w:r>
    </w:p>
  </w:footnote>
  <w:footnote w:id="3">
    <w:p w:rsidR="00586F0C" w:rsidRPr="00420439" w:rsidRDefault="00586F0C" w:rsidP="00586F0C">
      <w:pPr>
        <w:pStyle w:val="Tekstprzypisudolnego"/>
        <w:ind w:firstLine="709"/>
        <w:jc w:val="both"/>
        <w:rPr>
          <w:rFonts w:cs="Times New Roman"/>
          <w:sz w:val="22"/>
          <w:szCs w:val="22"/>
          <w:lang w:val="en-GB"/>
        </w:rPr>
      </w:pPr>
      <w:r w:rsidRPr="00420439">
        <w:rPr>
          <w:rStyle w:val="Odwoanieprzypisudolnego"/>
          <w:rFonts w:cs="Times New Roman"/>
          <w:sz w:val="22"/>
          <w:szCs w:val="22"/>
        </w:rPr>
        <w:footnoteRef/>
      </w:r>
      <w:r w:rsidRPr="00420439">
        <w:rPr>
          <w:rFonts w:cs="Times New Roman"/>
          <w:sz w:val="22"/>
          <w:szCs w:val="22"/>
          <w:lang w:val="en-GB"/>
        </w:rPr>
        <w:t xml:space="preserve"> </w:t>
      </w:r>
      <w:proofErr w:type="spellStart"/>
      <w:r w:rsidRPr="00420439">
        <w:rPr>
          <w:rFonts w:cs="Times New Roman"/>
          <w:sz w:val="22"/>
          <w:szCs w:val="22"/>
          <w:lang w:val="en-GB"/>
        </w:rPr>
        <w:t>Verheijen</w:t>
      </w:r>
      <w:proofErr w:type="spellEnd"/>
      <w:r w:rsidRPr="00420439">
        <w:rPr>
          <w:rFonts w:cs="Times New Roman"/>
          <w:sz w:val="22"/>
          <w:szCs w:val="22"/>
          <w:lang w:val="en-GB"/>
        </w:rPr>
        <w:t xml:space="preserve"> T., </w:t>
      </w:r>
      <w:r w:rsidRPr="00420439">
        <w:rPr>
          <w:rFonts w:cs="Times New Roman"/>
          <w:i/>
          <w:sz w:val="22"/>
          <w:szCs w:val="22"/>
          <w:lang w:val="en-GB"/>
        </w:rPr>
        <w:t>The Management of EU Affairs in Candidate Member States: Inventory of the Current State of Affairs,</w:t>
      </w:r>
      <w:r w:rsidRPr="00420439">
        <w:rPr>
          <w:rFonts w:cs="Times New Roman"/>
          <w:sz w:val="22"/>
          <w:szCs w:val="22"/>
          <w:lang w:val="uk-UA"/>
        </w:rPr>
        <w:t xml:space="preserve"> (</w:t>
      </w:r>
      <w:proofErr w:type="gramStart"/>
      <w:r w:rsidRPr="00420439">
        <w:rPr>
          <w:rFonts w:cs="Times New Roman"/>
          <w:sz w:val="22"/>
          <w:szCs w:val="22"/>
          <w:lang w:val="en-GB"/>
        </w:rPr>
        <w:t>in</w:t>
      </w:r>
      <w:r w:rsidRPr="00420439">
        <w:rPr>
          <w:rFonts w:cs="Times New Roman"/>
          <w:sz w:val="22"/>
          <w:szCs w:val="22"/>
          <w:lang w:val="uk-UA"/>
        </w:rPr>
        <w:t>:</w:t>
      </w:r>
      <w:proofErr w:type="gramEnd"/>
      <w:r w:rsidRPr="00420439">
        <w:rPr>
          <w:rFonts w:cs="Times New Roman"/>
          <w:sz w:val="22"/>
          <w:szCs w:val="22"/>
          <w:lang w:val="uk-UA"/>
        </w:rPr>
        <w:t>)</w:t>
      </w:r>
      <w:r w:rsidRPr="00420439">
        <w:rPr>
          <w:rFonts w:cs="Times New Roman"/>
          <w:sz w:val="22"/>
          <w:szCs w:val="22"/>
          <w:lang w:val="en-GB"/>
        </w:rPr>
        <w:t xml:space="preserve"> </w:t>
      </w:r>
      <w:r w:rsidRPr="00420439">
        <w:rPr>
          <w:rFonts w:cs="Times New Roman"/>
          <w:sz w:val="22"/>
          <w:szCs w:val="22"/>
          <w:lang w:val="uk-UA"/>
        </w:rPr>
        <w:t>«</w:t>
      </w:r>
      <w:r w:rsidRPr="00420439">
        <w:rPr>
          <w:rFonts w:cs="Times New Roman"/>
          <w:sz w:val="22"/>
          <w:szCs w:val="22"/>
          <w:lang w:val="en-GB"/>
        </w:rPr>
        <w:t>Preparing Public Administration for the European Administrative Space</w:t>
      </w:r>
      <w:r w:rsidRPr="00420439">
        <w:rPr>
          <w:rFonts w:cs="Times New Roman"/>
          <w:sz w:val="22"/>
          <w:szCs w:val="22"/>
          <w:lang w:val="uk-UA"/>
        </w:rPr>
        <w:t>»</w:t>
      </w:r>
      <w:r w:rsidRPr="00420439">
        <w:rPr>
          <w:rFonts w:cs="Times New Roman"/>
          <w:sz w:val="22"/>
          <w:szCs w:val="22"/>
          <w:lang w:val="en-GB"/>
        </w:rPr>
        <w:t xml:space="preserve">, OECD/SIGMA 1998, </w:t>
      </w:r>
      <w:proofErr w:type="spellStart"/>
      <w:r w:rsidRPr="00420439">
        <w:rPr>
          <w:rFonts w:cs="Times New Roman"/>
          <w:sz w:val="22"/>
          <w:szCs w:val="22"/>
          <w:lang w:val="en-US"/>
        </w:rPr>
        <w:t>Vol</w:t>
      </w:r>
      <w:proofErr w:type="spellEnd"/>
      <w:r w:rsidRPr="00420439">
        <w:rPr>
          <w:rFonts w:cs="Times New Roman"/>
          <w:sz w:val="22"/>
          <w:szCs w:val="22"/>
          <w:lang w:val="en-GB"/>
        </w:rPr>
        <w:t>.23, p. 29.</w:t>
      </w:r>
    </w:p>
  </w:footnote>
  <w:footnote w:id="4">
    <w:p w:rsidR="00586F0C" w:rsidRPr="00420439" w:rsidRDefault="00586F0C" w:rsidP="00586F0C">
      <w:pPr>
        <w:pStyle w:val="Tekstprzypisudolnego"/>
        <w:ind w:firstLine="709"/>
        <w:jc w:val="both"/>
        <w:rPr>
          <w:rFonts w:cs="Times New Roman"/>
          <w:sz w:val="22"/>
          <w:szCs w:val="22"/>
          <w:lang w:val="en-GB"/>
        </w:rPr>
      </w:pPr>
      <w:r w:rsidRPr="00420439">
        <w:rPr>
          <w:rStyle w:val="Odwoanieprzypisudolnego"/>
          <w:rFonts w:cs="Times New Roman"/>
          <w:sz w:val="22"/>
          <w:szCs w:val="22"/>
        </w:rPr>
        <w:footnoteRef/>
      </w:r>
      <w:r w:rsidRPr="00420439">
        <w:rPr>
          <w:rFonts w:cs="Times New Roman"/>
          <w:sz w:val="22"/>
          <w:szCs w:val="22"/>
          <w:lang w:val="en-GB"/>
        </w:rPr>
        <w:t xml:space="preserve"> </w:t>
      </w:r>
      <w:proofErr w:type="spellStart"/>
      <w:r w:rsidRPr="00420439">
        <w:rPr>
          <w:rFonts w:cs="Times New Roman"/>
          <w:sz w:val="22"/>
          <w:szCs w:val="22"/>
          <w:lang w:val="en-GB"/>
        </w:rPr>
        <w:t>Hesse</w:t>
      </w:r>
      <w:proofErr w:type="spellEnd"/>
      <w:r w:rsidRPr="00420439">
        <w:rPr>
          <w:rFonts w:cs="Times New Roman"/>
          <w:sz w:val="22"/>
          <w:szCs w:val="22"/>
          <w:lang w:val="en-GB"/>
        </w:rPr>
        <w:t xml:space="preserve"> J. J., </w:t>
      </w:r>
      <w:r w:rsidRPr="00420439">
        <w:rPr>
          <w:rFonts w:cs="Times New Roman"/>
          <w:i/>
          <w:sz w:val="22"/>
          <w:szCs w:val="22"/>
          <w:lang w:val="en-GB"/>
        </w:rPr>
        <w:t>Rebuilding the State: Administrative Reform in Central and Eastern Europ</w:t>
      </w:r>
      <w:r w:rsidRPr="00420439">
        <w:rPr>
          <w:rFonts w:cs="Times New Roman"/>
          <w:sz w:val="22"/>
          <w:szCs w:val="22"/>
          <w:lang w:val="en-GB"/>
        </w:rPr>
        <w:t xml:space="preserve">e, OECD/SIGMA 1998, Vol.23, p. 179; </w:t>
      </w:r>
      <w:proofErr w:type="spellStart"/>
      <w:r w:rsidRPr="00420439">
        <w:rPr>
          <w:rFonts w:cs="Times New Roman"/>
          <w:sz w:val="22"/>
          <w:szCs w:val="22"/>
          <w:lang w:val="en-GB"/>
        </w:rPr>
        <w:t>Nunberg</w:t>
      </w:r>
      <w:proofErr w:type="spellEnd"/>
      <w:r w:rsidRPr="00420439">
        <w:rPr>
          <w:rFonts w:cs="Times New Roman"/>
          <w:sz w:val="22"/>
          <w:szCs w:val="22"/>
          <w:lang w:val="en-GB"/>
        </w:rPr>
        <w:t xml:space="preserve"> B., </w:t>
      </w:r>
      <w:r w:rsidRPr="00420439">
        <w:rPr>
          <w:rFonts w:cs="Times New Roman"/>
          <w:i/>
          <w:sz w:val="22"/>
          <w:szCs w:val="22"/>
          <w:lang w:val="en-GB"/>
        </w:rPr>
        <w:t>Ready for Europe. Public Administration Reform and European Union Accession in Central and Easter Europe,</w:t>
      </w:r>
      <w:r w:rsidRPr="00420439">
        <w:rPr>
          <w:rFonts w:cs="Times New Roman"/>
          <w:sz w:val="22"/>
          <w:szCs w:val="22"/>
          <w:lang w:val="en-GB"/>
        </w:rPr>
        <w:t xml:space="preserve"> World Bank Technical Paper May 2000, Vol. 466, pp. 21, 208, 211, 215, 257.</w:t>
      </w:r>
    </w:p>
  </w:footnote>
  <w:footnote w:id="5">
    <w:p w:rsidR="00586F0C" w:rsidRPr="00420439" w:rsidRDefault="00586F0C" w:rsidP="00586F0C">
      <w:pPr>
        <w:spacing w:after="0" w:line="240" w:lineRule="auto"/>
        <w:ind w:firstLine="709"/>
        <w:jc w:val="both"/>
        <w:rPr>
          <w:rFonts w:cs="Times New Roman"/>
          <w:lang w:val="en-GB"/>
        </w:rPr>
      </w:pPr>
      <w:r w:rsidRPr="00420439">
        <w:rPr>
          <w:rStyle w:val="Odwoanieprzypisudolnego"/>
          <w:rFonts w:cs="Times New Roman"/>
        </w:rPr>
        <w:footnoteRef/>
      </w:r>
      <w:r w:rsidRPr="00420439">
        <w:rPr>
          <w:rFonts w:cs="Times New Roman"/>
          <w:lang w:val="en-GB"/>
        </w:rPr>
        <w:t xml:space="preserve"> </w:t>
      </w:r>
      <w:proofErr w:type="gramStart"/>
      <w:r w:rsidRPr="00420439">
        <w:rPr>
          <w:rFonts w:cs="Times New Roman"/>
          <w:i/>
          <w:lang w:val="en-GB"/>
        </w:rPr>
        <w:t>European Principles for Public Administration</w:t>
      </w:r>
      <w:r w:rsidRPr="00420439">
        <w:rPr>
          <w:rFonts w:cs="Times New Roman"/>
          <w:lang w:val="en-GB"/>
        </w:rPr>
        <w:t>, OECD/SIGMA 1999, Vol. 27.</w:t>
      </w:r>
      <w:proofErr w:type="gramEnd"/>
    </w:p>
  </w:footnote>
  <w:footnote w:id="6">
    <w:p w:rsidR="00586F0C" w:rsidRPr="00420439" w:rsidRDefault="00586F0C" w:rsidP="00586F0C">
      <w:pPr>
        <w:pStyle w:val="Tekstprzypisudolnego"/>
        <w:ind w:firstLine="709"/>
        <w:jc w:val="both"/>
        <w:rPr>
          <w:rFonts w:cs="Times New Roman"/>
          <w:sz w:val="22"/>
          <w:szCs w:val="22"/>
          <w:lang w:val="en-GB"/>
        </w:rPr>
      </w:pPr>
      <w:r w:rsidRPr="00420439">
        <w:rPr>
          <w:rStyle w:val="Odwoanieprzypisudolnego"/>
          <w:rFonts w:cs="Times New Roman"/>
          <w:sz w:val="22"/>
          <w:szCs w:val="22"/>
        </w:rPr>
        <w:footnoteRef/>
      </w:r>
      <w:r w:rsidRPr="00420439">
        <w:rPr>
          <w:rFonts w:cs="Times New Roman"/>
          <w:sz w:val="22"/>
          <w:szCs w:val="22"/>
          <w:lang w:val="en-GB"/>
        </w:rPr>
        <w:t xml:space="preserve"> </w:t>
      </w:r>
      <w:r w:rsidRPr="00420439">
        <w:rPr>
          <w:rFonts w:cs="Times New Roman"/>
          <w:i/>
          <w:sz w:val="22"/>
          <w:szCs w:val="22"/>
          <w:lang w:val="en-GB"/>
        </w:rPr>
        <w:t>European Principles for Public Administration</w:t>
      </w:r>
      <w:r w:rsidRPr="00420439">
        <w:rPr>
          <w:rFonts w:cs="Times New Roman"/>
          <w:sz w:val="22"/>
          <w:szCs w:val="22"/>
          <w:lang w:val="en-GB"/>
        </w:rPr>
        <w:t xml:space="preserve">, OECD/SIGMA 1999, Vol. 27; </w:t>
      </w:r>
      <w:proofErr w:type="spellStart"/>
      <w:r w:rsidRPr="00420439">
        <w:rPr>
          <w:rFonts w:cs="Times New Roman"/>
          <w:i/>
          <w:sz w:val="22"/>
          <w:szCs w:val="22"/>
          <w:lang w:val="en-GB"/>
        </w:rPr>
        <w:t>Strategia</w:t>
      </w:r>
      <w:proofErr w:type="spellEnd"/>
      <w:r w:rsidRPr="00420439">
        <w:rPr>
          <w:rFonts w:cs="Times New Roman"/>
          <w:i/>
          <w:sz w:val="22"/>
          <w:szCs w:val="22"/>
          <w:lang w:val="en-GB"/>
        </w:rPr>
        <w:t xml:space="preserve"> </w:t>
      </w:r>
      <w:proofErr w:type="spellStart"/>
      <w:r w:rsidRPr="00420439">
        <w:rPr>
          <w:rFonts w:cs="Times New Roman"/>
          <w:i/>
          <w:sz w:val="22"/>
          <w:szCs w:val="22"/>
          <w:lang w:val="en-GB"/>
        </w:rPr>
        <w:t>reformuvannia</w:t>
      </w:r>
      <w:proofErr w:type="spellEnd"/>
      <w:r w:rsidRPr="00420439">
        <w:rPr>
          <w:rFonts w:cs="Times New Roman"/>
          <w:i/>
          <w:sz w:val="22"/>
          <w:szCs w:val="22"/>
          <w:lang w:val="en-GB"/>
        </w:rPr>
        <w:t xml:space="preserve"> </w:t>
      </w:r>
      <w:proofErr w:type="spellStart"/>
      <w:r w:rsidRPr="00420439">
        <w:rPr>
          <w:rFonts w:cs="Times New Roman"/>
          <w:i/>
          <w:sz w:val="22"/>
          <w:szCs w:val="22"/>
          <w:lang w:val="en-GB"/>
        </w:rPr>
        <w:t>derzhavnogo</w:t>
      </w:r>
      <w:proofErr w:type="spellEnd"/>
      <w:r w:rsidRPr="00420439">
        <w:rPr>
          <w:rFonts w:cs="Times New Roman"/>
          <w:i/>
          <w:sz w:val="22"/>
          <w:szCs w:val="22"/>
          <w:lang w:val="en-GB"/>
        </w:rPr>
        <w:t xml:space="preserve"> </w:t>
      </w:r>
      <w:proofErr w:type="spellStart"/>
      <w:r w:rsidRPr="00420439">
        <w:rPr>
          <w:rFonts w:cs="Times New Roman"/>
          <w:i/>
          <w:sz w:val="22"/>
          <w:szCs w:val="22"/>
          <w:lang w:val="en-GB"/>
        </w:rPr>
        <w:t>upravlinnia</w:t>
      </w:r>
      <w:proofErr w:type="spellEnd"/>
      <w:r w:rsidRPr="00420439">
        <w:rPr>
          <w:rFonts w:cs="Times New Roman"/>
          <w:i/>
          <w:sz w:val="22"/>
          <w:szCs w:val="22"/>
          <w:lang w:val="en-GB"/>
        </w:rPr>
        <w:t xml:space="preserve"> </w:t>
      </w:r>
      <w:proofErr w:type="spellStart"/>
      <w:r w:rsidRPr="00420439">
        <w:rPr>
          <w:rFonts w:cs="Times New Roman"/>
          <w:i/>
          <w:sz w:val="22"/>
          <w:szCs w:val="22"/>
          <w:lang w:val="en-GB"/>
        </w:rPr>
        <w:t>Ukrai`</w:t>
      </w:r>
      <w:proofErr w:type="gramStart"/>
      <w:r w:rsidRPr="00420439">
        <w:rPr>
          <w:rFonts w:cs="Times New Roman"/>
          <w:i/>
          <w:sz w:val="22"/>
          <w:szCs w:val="22"/>
          <w:lang w:val="en-GB"/>
        </w:rPr>
        <w:t>ny</w:t>
      </w:r>
      <w:proofErr w:type="spellEnd"/>
      <w:proofErr w:type="gramEnd"/>
      <w:r w:rsidRPr="00420439">
        <w:rPr>
          <w:rFonts w:cs="Times New Roman"/>
          <w:i/>
          <w:sz w:val="22"/>
          <w:szCs w:val="22"/>
          <w:lang w:val="en-GB"/>
        </w:rPr>
        <w:t xml:space="preserve"> </w:t>
      </w:r>
      <w:proofErr w:type="spellStart"/>
      <w:r w:rsidRPr="00420439">
        <w:rPr>
          <w:rFonts w:cs="Times New Roman"/>
          <w:i/>
          <w:sz w:val="22"/>
          <w:szCs w:val="22"/>
          <w:lang w:val="en-GB"/>
        </w:rPr>
        <w:t>na</w:t>
      </w:r>
      <w:proofErr w:type="spellEnd"/>
      <w:r w:rsidRPr="00420439">
        <w:rPr>
          <w:rFonts w:cs="Times New Roman"/>
          <w:i/>
          <w:sz w:val="22"/>
          <w:szCs w:val="22"/>
          <w:lang w:val="en-GB"/>
        </w:rPr>
        <w:t xml:space="preserve"> 2016-2020 </w:t>
      </w:r>
      <w:proofErr w:type="spellStart"/>
      <w:r w:rsidRPr="00420439">
        <w:rPr>
          <w:rFonts w:cs="Times New Roman"/>
          <w:i/>
          <w:sz w:val="22"/>
          <w:szCs w:val="22"/>
          <w:lang w:val="en-GB"/>
        </w:rPr>
        <w:t>rik</w:t>
      </w:r>
      <w:proofErr w:type="spellEnd"/>
      <w:r w:rsidRPr="00420439">
        <w:rPr>
          <w:rFonts w:cs="Times New Roman"/>
          <w:i/>
          <w:sz w:val="22"/>
          <w:szCs w:val="22"/>
          <w:lang w:val="en-GB"/>
        </w:rPr>
        <w:t>,</w:t>
      </w:r>
      <w:r w:rsidRPr="00420439">
        <w:rPr>
          <w:rFonts w:cs="Times New Roman"/>
          <w:sz w:val="22"/>
          <w:szCs w:val="22"/>
          <w:lang w:val="en-GB"/>
        </w:rPr>
        <w:t xml:space="preserve"> </w:t>
      </w:r>
      <w:proofErr w:type="spellStart"/>
      <w:r w:rsidRPr="00420439">
        <w:rPr>
          <w:rFonts w:cs="Times New Roman"/>
          <w:sz w:val="22"/>
          <w:szCs w:val="22"/>
          <w:lang w:val="en-GB"/>
        </w:rPr>
        <w:t>rozporjadzhennja</w:t>
      </w:r>
      <w:proofErr w:type="spellEnd"/>
      <w:r w:rsidRPr="00420439">
        <w:rPr>
          <w:rFonts w:cs="Times New Roman"/>
          <w:sz w:val="22"/>
          <w:szCs w:val="22"/>
          <w:lang w:val="uk-UA"/>
        </w:rPr>
        <w:t xml:space="preserve"> </w:t>
      </w:r>
      <w:proofErr w:type="spellStart"/>
      <w:r w:rsidRPr="00420439">
        <w:rPr>
          <w:rFonts w:cs="Times New Roman"/>
          <w:sz w:val="22"/>
          <w:szCs w:val="22"/>
          <w:lang w:val="en-GB"/>
        </w:rPr>
        <w:t>Kabinetu</w:t>
      </w:r>
      <w:proofErr w:type="spellEnd"/>
      <w:r w:rsidRPr="00420439">
        <w:rPr>
          <w:rFonts w:cs="Times New Roman"/>
          <w:sz w:val="22"/>
          <w:szCs w:val="22"/>
          <w:lang w:val="uk-UA"/>
        </w:rPr>
        <w:t xml:space="preserve"> </w:t>
      </w:r>
      <w:proofErr w:type="spellStart"/>
      <w:r w:rsidRPr="00420439">
        <w:rPr>
          <w:rFonts w:cs="Times New Roman"/>
          <w:sz w:val="22"/>
          <w:szCs w:val="22"/>
          <w:lang w:val="en-GB"/>
        </w:rPr>
        <w:t>Ministriv</w:t>
      </w:r>
      <w:proofErr w:type="spellEnd"/>
      <w:r w:rsidRPr="00420439">
        <w:rPr>
          <w:rFonts w:cs="Times New Roman"/>
          <w:sz w:val="22"/>
          <w:szCs w:val="22"/>
          <w:lang w:val="uk-UA"/>
        </w:rPr>
        <w:t xml:space="preserve"> </w:t>
      </w:r>
      <w:proofErr w:type="spellStart"/>
      <w:r w:rsidRPr="00420439">
        <w:rPr>
          <w:rFonts w:cs="Times New Roman"/>
          <w:sz w:val="22"/>
          <w:szCs w:val="22"/>
          <w:lang w:val="en-GB"/>
        </w:rPr>
        <w:t>Ukrai</w:t>
      </w:r>
      <w:proofErr w:type="spellEnd"/>
      <w:r w:rsidRPr="00420439">
        <w:rPr>
          <w:rFonts w:cs="Times New Roman"/>
          <w:sz w:val="22"/>
          <w:szCs w:val="22"/>
          <w:lang w:val="uk-UA"/>
        </w:rPr>
        <w:t>'</w:t>
      </w:r>
      <w:proofErr w:type="spellStart"/>
      <w:r w:rsidRPr="00420439">
        <w:rPr>
          <w:rFonts w:cs="Times New Roman"/>
          <w:sz w:val="22"/>
          <w:szCs w:val="22"/>
          <w:lang w:val="en-GB"/>
        </w:rPr>
        <w:t>ny</w:t>
      </w:r>
      <w:proofErr w:type="spellEnd"/>
      <w:r w:rsidRPr="00420439">
        <w:rPr>
          <w:rFonts w:cs="Times New Roman"/>
          <w:sz w:val="22"/>
          <w:szCs w:val="22"/>
          <w:lang w:val="uk-UA"/>
        </w:rPr>
        <w:t xml:space="preserve"> </w:t>
      </w:r>
      <w:r w:rsidRPr="00420439">
        <w:rPr>
          <w:rFonts w:cs="Times New Roman"/>
          <w:sz w:val="22"/>
          <w:szCs w:val="22"/>
          <w:lang w:val="en-GB"/>
        </w:rPr>
        <w:t>vid</w:t>
      </w:r>
      <w:r w:rsidRPr="00420439">
        <w:rPr>
          <w:rFonts w:cs="Times New Roman"/>
          <w:sz w:val="22"/>
          <w:szCs w:val="22"/>
          <w:lang w:val="uk-UA"/>
        </w:rPr>
        <w:t xml:space="preserve"> </w:t>
      </w:r>
      <w:r w:rsidRPr="00420439">
        <w:rPr>
          <w:rFonts w:cs="Times New Roman"/>
          <w:sz w:val="22"/>
          <w:szCs w:val="22"/>
          <w:lang w:val="en-GB"/>
        </w:rPr>
        <w:t>24</w:t>
      </w:r>
      <w:r w:rsidRPr="00420439">
        <w:rPr>
          <w:rFonts w:cs="Times New Roman"/>
          <w:sz w:val="22"/>
          <w:szCs w:val="22"/>
          <w:lang w:val="uk-UA"/>
        </w:rPr>
        <w:t>.06.</w:t>
      </w:r>
      <w:r w:rsidRPr="00420439">
        <w:rPr>
          <w:rFonts w:cs="Times New Roman"/>
          <w:sz w:val="22"/>
          <w:szCs w:val="22"/>
          <w:lang w:val="en-GB"/>
        </w:rPr>
        <w:t>2016, №474-</w:t>
      </w:r>
      <w:r w:rsidRPr="00420439">
        <w:rPr>
          <w:rFonts w:cs="Times New Roman"/>
          <w:sz w:val="22"/>
          <w:szCs w:val="22"/>
        </w:rPr>
        <w:t>р</w:t>
      </w:r>
      <w:r w:rsidRPr="00420439">
        <w:rPr>
          <w:rFonts w:cs="Times New Roman"/>
          <w:sz w:val="22"/>
          <w:szCs w:val="22"/>
          <w:lang w:val="en-US"/>
        </w:rPr>
        <w:t xml:space="preserve">. </w:t>
      </w:r>
    </w:p>
  </w:footnote>
  <w:footnote w:id="7">
    <w:p w:rsidR="00586F0C" w:rsidRPr="00420439" w:rsidRDefault="00586F0C" w:rsidP="00586F0C">
      <w:pPr>
        <w:pStyle w:val="Tekstprzypisudolnego"/>
        <w:ind w:firstLine="709"/>
        <w:jc w:val="both"/>
        <w:rPr>
          <w:rFonts w:cs="Times New Roman"/>
          <w:sz w:val="22"/>
          <w:szCs w:val="22"/>
          <w:lang w:val="en-GB"/>
        </w:rPr>
      </w:pPr>
      <w:r w:rsidRPr="00420439">
        <w:rPr>
          <w:rStyle w:val="Odwoanieprzypisudolnego"/>
          <w:rFonts w:cs="Times New Roman"/>
          <w:sz w:val="22"/>
          <w:szCs w:val="22"/>
        </w:rPr>
        <w:footnoteRef/>
      </w:r>
      <w:r w:rsidRPr="00420439">
        <w:rPr>
          <w:rFonts w:cs="Times New Roman"/>
          <w:sz w:val="22"/>
          <w:szCs w:val="22"/>
          <w:lang w:val="en-GB"/>
        </w:rPr>
        <w:t xml:space="preserve"> </w:t>
      </w:r>
      <w:proofErr w:type="spellStart"/>
      <w:r w:rsidRPr="00420439">
        <w:rPr>
          <w:rFonts w:cs="Times New Roman"/>
          <w:sz w:val="22"/>
          <w:szCs w:val="22"/>
          <w:lang w:val="en-GB"/>
        </w:rPr>
        <w:t>Mihajlovic</w:t>
      </w:r>
      <w:proofErr w:type="spellEnd"/>
      <w:r w:rsidRPr="00420439">
        <w:rPr>
          <w:rFonts w:cs="Times New Roman"/>
          <w:sz w:val="22"/>
          <w:szCs w:val="22"/>
          <w:lang w:val="en-GB"/>
        </w:rPr>
        <w:t xml:space="preserve"> M.</w:t>
      </w:r>
      <w:r w:rsidRPr="00420439">
        <w:rPr>
          <w:rFonts w:cs="Times New Roman"/>
          <w:sz w:val="22"/>
          <w:szCs w:val="22"/>
          <w:lang w:val="en-US"/>
        </w:rPr>
        <w:t xml:space="preserve"> </w:t>
      </w:r>
      <w:r w:rsidRPr="00420439">
        <w:rPr>
          <w:rFonts w:cs="Times New Roman"/>
          <w:i/>
          <w:sz w:val="22"/>
          <w:szCs w:val="22"/>
          <w:lang w:val="en-GB"/>
        </w:rPr>
        <w:t xml:space="preserve">Public administration reform and European integration process: on the same or parallel tracks? </w:t>
      </w:r>
      <w:proofErr w:type="gramStart"/>
      <w:r w:rsidRPr="00420439">
        <w:rPr>
          <w:rFonts w:cs="Times New Roman"/>
          <w:i/>
          <w:sz w:val="22"/>
          <w:szCs w:val="22"/>
          <w:lang w:val="en-GB"/>
        </w:rPr>
        <w:t>(Case study of the Republic of Serbia).</w:t>
      </w:r>
      <w:proofErr w:type="gramEnd"/>
      <w:r w:rsidRPr="00420439">
        <w:rPr>
          <w:rFonts w:cs="Times New Roman"/>
          <w:sz w:val="22"/>
          <w:szCs w:val="22"/>
          <w:lang w:val="en-GB"/>
        </w:rPr>
        <w:t xml:space="preserve"> Paper presented at 14</w:t>
      </w:r>
      <w:r w:rsidRPr="00420439">
        <w:rPr>
          <w:rFonts w:cs="Times New Roman"/>
          <w:sz w:val="22"/>
          <w:szCs w:val="22"/>
          <w:vertAlign w:val="superscript"/>
          <w:lang w:val="en-GB"/>
        </w:rPr>
        <w:t>th</w:t>
      </w:r>
      <w:r w:rsidRPr="00420439">
        <w:rPr>
          <w:rFonts w:cs="Times New Roman"/>
          <w:sz w:val="22"/>
          <w:szCs w:val="22"/>
          <w:lang w:val="en-GB"/>
        </w:rPr>
        <w:t xml:space="preserve"> </w:t>
      </w:r>
      <w:proofErr w:type="spellStart"/>
      <w:r w:rsidRPr="00420439">
        <w:rPr>
          <w:rFonts w:cs="Times New Roman"/>
          <w:sz w:val="22"/>
          <w:szCs w:val="22"/>
          <w:lang w:val="en-GB"/>
        </w:rPr>
        <w:t>NISPAcee</w:t>
      </w:r>
      <w:proofErr w:type="spellEnd"/>
      <w:r w:rsidRPr="00420439">
        <w:rPr>
          <w:rFonts w:cs="Times New Roman"/>
          <w:sz w:val="22"/>
          <w:szCs w:val="22"/>
          <w:lang w:val="en-GB"/>
        </w:rPr>
        <w:t xml:space="preserve"> </w:t>
      </w:r>
      <w:proofErr w:type="spellStart"/>
      <w:r w:rsidRPr="00420439">
        <w:rPr>
          <w:rFonts w:cs="Times New Roman"/>
          <w:sz w:val="22"/>
          <w:szCs w:val="22"/>
          <w:lang w:val="en-GB"/>
        </w:rPr>
        <w:t>Anual</w:t>
      </w:r>
      <w:proofErr w:type="spellEnd"/>
      <w:r w:rsidRPr="00420439">
        <w:rPr>
          <w:rFonts w:cs="Times New Roman"/>
          <w:sz w:val="22"/>
          <w:szCs w:val="22"/>
          <w:lang w:val="en-GB"/>
        </w:rPr>
        <w:t xml:space="preserve"> Conference, Slovenia 11-13 May 2006, </w:t>
      </w:r>
      <w:proofErr w:type="gramStart"/>
      <w:r w:rsidRPr="00420439">
        <w:rPr>
          <w:rFonts w:cs="Times New Roman"/>
          <w:sz w:val="22"/>
          <w:szCs w:val="22"/>
          <w:lang w:val="en-GB"/>
        </w:rPr>
        <w:t>p</w:t>
      </w:r>
      <w:proofErr w:type="gramEnd"/>
      <w:r w:rsidRPr="00420439">
        <w:rPr>
          <w:rFonts w:cs="Times New Roman"/>
          <w:sz w:val="22"/>
          <w:szCs w:val="22"/>
          <w:lang w:val="en-GB"/>
        </w:rPr>
        <w:t>. 2.</w:t>
      </w:r>
    </w:p>
  </w:footnote>
  <w:footnote w:id="8">
    <w:p w:rsidR="00586F0C" w:rsidRPr="00420439" w:rsidRDefault="00586F0C" w:rsidP="00586F0C">
      <w:pPr>
        <w:pStyle w:val="Tekstprzypisudolnego"/>
        <w:ind w:firstLine="709"/>
        <w:jc w:val="both"/>
        <w:rPr>
          <w:rFonts w:cs="Times New Roman"/>
          <w:sz w:val="22"/>
          <w:szCs w:val="22"/>
          <w:lang w:val="pl-PL"/>
        </w:rPr>
      </w:pPr>
      <w:r w:rsidRPr="00420439">
        <w:rPr>
          <w:rStyle w:val="Odwoanieprzypisudolnego"/>
          <w:rFonts w:cs="Times New Roman"/>
          <w:sz w:val="22"/>
          <w:szCs w:val="22"/>
        </w:rPr>
        <w:footnoteRef/>
      </w:r>
      <w:r w:rsidRPr="00420439">
        <w:rPr>
          <w:rFonts w:cs="Times New Roman"/>
          <w:sz w:val="22"/>
          <w:szCs w:val="22"/>
          <w:lang w:val="pl-PL"/>
        </w:rPr>
        <w:t xml:space="preserve"> </w:t>
      </w:r>
      <w:r w:rsidRPr="00420439">
        <w:rPr>
          <w:rFonts w:cs="Times New Roman"/>
          <w:i/>
          <w:sz w:val="22"/>
          <w:szCs w:val="22"/>
          <w:lang w:val="pl-PL"/>
        </w:rPr>
        <w:t>Strategia reformuvannia derzhavnogo upravlinnia Ukrai`ny na 2016-2020 r.,</w:t>
      </w:r>
      <w:r w:rsidRPr="00420439">
        <w:rPr>
          <w:rFonts w:cs="Times New Roman"/>
          <w:sz w:val="22"/>
          <w:szCs w:val="22"/>
          <w:lang w:val="pl-PL"/>
        </w:rPr>
        <w:t xml:space="preserve"> rozporjadzhennja</w:t>
      </w:r>
      <w:r w:rsidRPr="00420439">
        <w:rPr>
          <w:rFonts w:cs="Times New Roman"/>
          <w:sz w:val="22"/>
          <w:szCs w:val="22"/>
          <w:lang w:val="uk-UA"/>
        </w:rPr>
        <w:t xml:space="preserve"> </w:t>
      </w:r>
      <w:r w:rsidRPr="00420439">
        <w:rPr>
          <w:rFonts w:cs="Times New Roman"/>
          <w:sz w:val="22"/>
          <w:szCs w:val="22"/>
          <w:lang w:val="pl-PL"/>
        </w:rPr>
        <w:t>Kabinetu</w:t>
      </w:r>
      <w:r w:rsidRPr="00420439">
        <w:rPr>
          <w:rFonts w:cs="Times New Roman"/>
          <w:sz w:val="22"/>
          <w:szCs w:val="22"/>
          <w:lang w:val="uk-UA"/>
        </w:rPr>
        <w:t xml:space="preserve"> </w:t>
      </w:r>
      <w:r w:rsidRPr="00420439">
        <w:rPr>
          <w:rFonts w:cs="Times New Roman"/>
          <w:sz w:val="22"/>
          <w:szCs w:val="22"/>
          <w:lang w:val="pl-PL"/>
        </w:rPr>
        <w:t>Ministriv</w:t>
      </w:r>
      <w:r w:rsidRPr="00420439">
        <w:rPr>
          <w:rFonts w:cs="Times New Roman"/>
          <w:sz w:val="22"/>
          <w:szCs w:val="22"/>
          <w:lang w:val="uk-UA"/>
        </w:rPr>
        <w:t xml:space="preserve"> </w:t>
      </w:r>
      <w:r w:rsidRPr="00420439">
        <w:rPr>
          <w:rFonts w:cs="Times New Roman"/>
          <w:sz w:val="22"/>
          <w:szCs w:val="22"/>
          <w:lang w:val="pl-PL"/>
        </w:rPr>
        <w:t>Ukrai</w:t>
      </w:r>
      <w:r w:rsidRPr="00420439">
        <w:rPr>
          <w:rFonts w:cs="Times New Roman"/>
          <w:sz w:val="22"/>
          <w:szCs w:val="22"/>
          <w:lang w:val="uk-UA"/>
        </w:rPr>
        <w:t>'</w:t>
      </w:r>
      <w:r w:rsidRPr="00420439">
        <w:rPr>
          <w:rFonts w:cs="Times New Roman"/>
          <w:sz w:val="22"/>
          <w:szCs w:val="22"/>
          <w:lang w:val="pl-PL"/>
        </w:rPr>
        <w:t>ny</w:t>
      </w:r>
      <w:r w:rsidRPr="00420439">
        <w:rPr>
          <w:rFonts w:cs="Times New Roman"/>
          <w:sz w:val="22"/>
          <w:szCs w:val="22"/>
          <w:lang w:val="uk-UA"/>
        </w:rPr>
        <w:t xml:space="preserve"> </w:t>
      </w:r>
      <w:r w:rsidRPr="00420439">
        <w:rPr>
          <w:rFonts w:cs="Times New Roman"/>
          <w:sz w:val="22"/>
          <w:szCs w:val="22"/>
          <w:lang w:val="pl-PL"/>
        </w:rPr>
        <w:t>vid</w:t>
      </w:r>
      <w:r w:rsidRPr="00420439">
        <w:rPr>
          <w:rFonts w:cs="Times New Roman"/>
          <w:sz w:val="22"/>
          <w:szCs w:val="22"/>
          <w:lang w:val="uk-UA"/>
        </w:rPr>
        <w:t xml:space="preserve"> </w:t>
      </w:r>
      <w:r w:rsidRPr="00420439">
        <w:rPr>
          <w:rFonts w:cs="Times New Roman"/>
          <w:sz w:val="22"/>
          <w:szCs w:val="22"/>
          <w:lang w:val="pl-PL"/>
        </w:rPr>
        <w:t>24</w:t>
      </w:r>
      <w:r w:rsidRPr="00420439">
        <w:rPr>
          <w:rFonts w:cs="Times New Roman"/>
          <w:sz w:val="22"/>
          <w:szCs w:val="22"/>
          <w:lang w:val="uk-UA"/>
        </w:rPr>
        <w:t>.06.</w:t>
      </w:r>
      <w:r w:rsidRPr="00420439">
        <w:rPr>
          <w:rFonts w:cs="Times New Roman"/>
          <w:sz w:val="22"/>
          <w:szCs w:val="22"/>
          <w:lang w:val="pl-PL"/>
        </w:rPr>
        <w:t>2016, №474-</w:t>
      </w:r>
      <w:r w:rsidRPr="00420439">
        <w:rPr>
          <w:rFonts w:cs="Times New Roman"/>
          <w:sz w:val="22"/>
          <w:szCs w:val="22"/>
        </w:rPr>
        <w:t>р</w:t>
      </w:r>
      <w:r w:rsidRPr="00420439">
        <w:rPr>
          <w:rFonts w:cs="Times New Roman"/>
          <w:sz w:val="22"/>
          <w:szCs w:val="22"/>
          <w:lang w:val="pl-PL"/>
        </w:rPr>
        <w:t xml:space="preserve">. </w:t>
      </w:r>
    </w:p>
  </w:footnote>
  <w:footnote w:id="9">
    <w:p w:rsidR="00586F0C" w:rsidRPr="00420439" w:rsidRDefault="00586F0C" w:rsidP="00586F0C">
      <w:pPr>
        <w:pStyle w:val="Tekstprzypisudolnego"/>
        <w:ind w:firstLine="709"/>
        <w:jc w:val="both"/>
        <w:rPr>
          <w:rFonts w:cs="Times New Roman"/>
          <w:sz w:val="22"/>
          <w:szCs w:val="22"/>
          <w:lang w:val="en-GB"/>
        </w:rPr>
      </w:pPr>
      <w:r w:rsidRPr="00420439">
        <w:rPr>
          <w:rStyle w:val="Odwoanieprzypisudolnego"/>
          <w:rFonts w:cs="Times New Roman"/>
          <w:sz w:val="22"/>
          <w:szCs w:val="22"/>
        </w:rPr>
        <w:footnoteRef/>
      </w:r>
      <w:r w:rsidRPr="00420439">
        <w:rPr>
          <w:rFonts w:cs="Times New Roman"/>
          <w:sz w:val="22"/>
          <w:szCs w:val="22"/>
          <w:lang w:val="en-GB"/>
        </w:rPr>
        <w:t xml:space="preserve"> </w:t>
      </w:r>
      <w:r w:rsidRPr="00420439">
        <w:rPr>
          <w:rFonts w:cs="Times New Roman"/>
          <w:i/>
          <w:sz w:val="22"/>
          <w:szCs w:val="22"/>
          <w:lang w:val="en-GB"/>
        </w:rPr>
        <w:t>The Association Agreement between the European Union and the European Atomic Energy Community and their Member States, on the one part, and Ukraine, on the other part,</w:t>
      </w:r>
      <w:r w:rsidRPr="00420439">
        <w:rPr>
          <w:rFonts w:cs="Times New Roman"/>
          <w:sz w:val="22"/>
          <w:szCs w:val="22"/>
          <w:lang w:val="en-GB"/>
        </w:rPr>
        <w:t xml:space="preserve"> Official Journal L 161, 29.5.2014, p. 3–2137.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A4F53"/>
    <w:multiLevelType w:val="hybridMultilevel"/>
    <w:tmpl w:val="3E768F40"/>
    <w:lvl w:ilvl="0" w:tplc="3CB2C8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0C"/>
    <w:rsid w:val="00216AEE"/>
    <w:rsid w:val="00374434"/>
    <w:rsid w:val="00586F0C"/>
    <w:rsid w:val="00BF3CF5"/>
    <w:rsid w:val="00C6015D"/>
    <w:rsid w:val="00EA771D"/>
    <w:rsid w:val="00F46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86F0C"/>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6F0C"/>
    <w:pPr>
      <w:ind w:left="720"/>
      <w:contextualSpacing/>
    </w:pPr>
  </w:style>
  <w:style w:type="paragraph" w:styleId="NormalnyWeb">
    <w:name w:val="Normal (Web)"/>
    <w:basedOn w:val="Normalny"/>
    <w:unhideWhenUsed/>
    <w:rsid w:val="00586F0C"/>
    <w:pPr>
      <w:spacing w:before="30" w:after="30" w:line="240" w:lineRule="auto"/>
    </w:pPr>
    <w:rPr>
      <w:rFonts w:ascii="Verdana" w:eastAsia="Times New Roman" w:hAnsi="Verdana" w:cs="Times New Roman"/>
      <w:sz w:val="17"/>
      <w:szCs w:val="17"/>
      <w:lang w:eastAsia="ru-RU"/>
    </w:rPr>
  </w:style>
  <w:style w:type="paragraph" w:styleId="Tekstprzypisudolnego">
    <w:name w:val="footnote text"/>
    <w:basedOn w:val="Normalny"/>
    <w:link w:val="TekstprzypisudolnegoZnak"/>
    <w:semiHidden/>
    <w:unhideWhenUsed/>
    <w:rsid w:val="00586F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6F0C"/>
    <w:rPr>
      <w:rFonts w:ascii="Times New Roman" w:hAnsi="Times New Roman"/>
      <w:sz w:val="20"/>
      <w:szCs w:val="20"/>
    </w:rPr>
  </w:style>
  <w:style w:type="character" w:styleId="Odwoanieprzypisudolnego">
    <w:name w:val="footnote reference"/>
    <w:basedOn w:val="Domylnaczcionkaakapitu"/>
    <w:semiHidden/>
    <w:unhideWhenUsed/>
    <w:rsid w:val="00586F0C"/>
    <w:rPr>
      <w:vertAlign w:val="superscript"/>
    </w:rPr>
  </w:style>
  <w:style w:type="character" w:customStyle="1" w:styleId="apple-converted-space">
    <w:name w:val="apple-converted-space"/>
    <w:basedOn w:val="Domylnaczcionkaakapitu"/>
    <w:rsid w:val="00586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86F0C"/>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6F0C"/>
    <w:pPr>
      <w:ind w:left="720"/>
      <w:contextualSpacing/>
    </w:pPr>
  </w:style>
  <w:style w:type="paragraph" w:styleId="NormalnyWeb">
    <w:name w:val="Normal (Web)"/>
    <w:basedOn w:val="Normalny"/>
    <w:unhideWhenUsed/>
    <w:rsid w:val="00586F0C"/>
    <w:pPr>
      <w:spacing w:before="30" w:after="30" w:line="240" w:lineRule="auto"/>
    </w:pPr>
    <w:rPr>
      <w:rFonts w:ascii="Verdana" w:eastAsia="Times New Roman" w:hAnsi="Verdana" w:cs="Times New Roman"/>
      <w:sz w:val="17"/>
      <w:szCs w:val="17"/>
      <w:lang w:eastAsia="ru-RU"/>
    </w:rPr>
  </w:style>
  <w:style w:type="paragraph" w:styleId="Tekstprzypisudolnego">
    <w:name w:val="footnote text"/>
    <w:basedOn w:val="Normalny"/>
    <w:link w:val="TekstprzypisudolnegoZnak"/>
    <w:semiHidden/>
    <w:unhideWhenUsed/>
    <w:rsid w:val="00586F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6F0C"/>
    <w:rPr>
      <w:rFonts w:ascii="Times New Roman" w:hAnsi="Times New Roman"/>
      <w:sz w:val="20"/>
      <w:szCs w:val="20"/>
    </w:rPr>
  </w:style>
  <w:style w:type="character" w:styleId="Odwoanieprzypisudolnego">
    <w:name w:val="footnote reference"/>
    <w:basedOn w:val="Domylnaczcionkaakapitu"/>
    <w:semiHidden/>
    <w:unhideWhenUsed/>
    <w:rsid w:val="00586F0C"/>
    <w:rPr>
      <w:vertAlign w:val="superscript"/>
    </w:rPr>
  </w:style>
  <w:style w:type="character" w:customStyle="1" w:styleId="apple-converted-space">
    <w:name w:val="apple-converted-space"/>
    <w:basedOn w:val="Domylnaczcionkaakapitu"/>
    <w:rsid w:val="0058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7806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Dell</cp:lastModifiedBy>
  <cp:revision>2</cp:revision>
  <dcterms:created xsi:type="dcterms:W3CDTF">2017-10-01T18:05:00Z</dcterms:created>
  <dcterms:modified xsi:type="dcterms:W3CDTF">2017-10-01T18:05:00Z</dcterms:modified>
</cp:coreProperties>
</file>