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0C9B5" w14:textId="23F5E940" w:rsidR="000143A3" w:rsidRPr="00BC0FC3" w:rsidRDefault="006B1867" w:rsidP="00BC0FC3">
      <w:pPr>
        <w:tabs>
          <w:tab w:val="left" w:pos="2625"/>
        </w:tabs>
        <w:jc w:val="center"/>
        <w:rPr>
          <w:rFonts w:ascii="Times New Roman" w:hAnsi="Times New Roman" w:cs="Times New Roman"/>
          <w:bCs/>
          <w:sz w:val="23"/>
          <w:szCs w:val="23"/>
          <w:lang w:val="en-US"/>
        </w:rPr>
      </w:pPr>
      <w:bookmarkStart w:id="0" w:name="_GoBack"/>
      <w:bookmarkEnd w:id="0"/>
      <w:r w:rsidRPr="00BC0FC3">
        <w:rPr>
          <w:rFonts w:ascii="Times New Roman" w:hAnsi="Times New Roman" w:cs="Times New Roman"/>
          <w:b/>
          <w:sz w:val="23"/>
          <w:szCs w:val="23"/>
          <w:lang w:val="en-US"/>
        </w:rPr>
        <w:t xml:space="preserve">The legitimacy of </w:t>
      </w:r>
      <w:r w:rsidR="00F226F2" w:rsidRPr="00BC0FC3">
        <w:rPr>
          <w:rFonts w:ascii="Times New Roman" w:hAnsi="Times New Roman" w:cs="Times New Roman"/>
          <w:b/>
          <w:sz w:val="23"/>
          <w:szCs w:val="23"/>
          <w:lang w:val="en-US"/>
        </w:rPr>
        <w:t>area-based restrictions</w:t>
      </w:r>
      <w:r w:rsidR="006E03DF" w:rsidRPr="00BC0FC3">
        <w:rPr>
          <w:rFonts w:ascii="Times New Roman" w:hAnsi="Times New Roman" w:cs="Times New Roman"/>
          <w:b/>
          <w:sz w:val="23"/>
          <w:szCs w:val="23"/>
          <w:lang w:val="en-US"/>
        </w:rPr>
        <w:t xml:space="preserve"> to maintain public order</w:t>
      </w:r>
      <w:r w:rsidR="00025B58">
        <w:rPr>
          <w:rFonts w:ascii="Times New Roman" w:hAnsi="Times New Roman" w:cs="Times New Roman"/>
          <w:b/>
          <w:sz w:val="23"/>
          <w:szCs w:val="23"/>
          <w:lang w:val="en-US"/>
        </w:rPr>
        <w:t>:</w:t>
      </w:r>
      <w:r w:rsidR="00411BA9">
        <w:rPr>
          <w:rFonts w:ascii="Times New Roman" w:hAnsi="Times New Roman" w:cs="Times New Roman"/>
          <w:b/>
          <w:sz w:val="23"/>
          <w:szCs w:val="23"/>
          <w:lang w:val="en-US"/>
        </w:rPr>
        <w:t xml:space="preserve"> giving content to </w:t>
      </w:r>
      <w:r w:rsidR="006E03DF" w:rsidRPr="00BC0FC3">
        <w:rPr>
          <w:rFonts w:ascii="Times New Roman" w:hAnsi="Times New Roman" w:cs="Times New Roman"/>
          <w:b/>
          <w:sz w:val="23"/>
          <w:szCs w:val="23"/>
          <w:lang w:val="en-US"/>
        </w:rPr>
        <w:t xml:space="preserve">the </w:t>
      </w:r>
      <w:r w:rsidR="00CF5902" w:rsidRPr="00BC0FC3">
        <w:rPr>
          <w:rFonts w:ascii="Times New Roman" w:hAnsi="Times New Roman" w:cs="Times New Roman"/>
          <w:b/>
          <w:sz w:val="23"/>
          <w:szCs w:val="23"/>
          <w:lang w:val="en-US"/>
        </w:rPr>
        <w:t>proportionality</w:t>
      </w:r>
      <w:r w:rsidR="00D438A5" w:rsidRPr="00BC0FC3">
        <w:rPr>
          <w:rFonts w:ascii="Times New Roman" w:hAnsi="Times New Roman" w:cs="Times New Roman"/>
          <w:b/>
          <w:sz w:val="23"/>
          <w:szCs w:val="23"/>
          <w:lang w:val="en-US"/>
        </w:rPr>
        <w:t xml:space="preserve"> </w:t>
      </w:r>
      <w:r w:rsidR="006E03DF" w:rsidRPr="00BC0FC3">
        <w:rPr>
          <w:rFonts w:ascii="Times New Roman" w:hAnsi="Times New Roman" w:cs="Times New Roman"/>
          <w:b/>
          <w:sz w:val="23"/>
          <w:szCs w:val="23"/>
          <w:lang w:val="en-US"/>
        </w:rPr>
        <w:t xml:space="preserve">principle </w:t>
      </w:r>
      <w:r w:rsidR="00D438A5" w:rsidRPr="00BC0FC3">
        <w:rPr>
          <w:rFonts w:ascii="Times New Roman" w:hAnsi="Times New Roman" w:cs="Times New Roman"/>
          <w:b/>
          <w:sz w:val="23"/>
          <w:szCs w:val="23"/>
          <w:lang w:val="en-US"/>
        </w:rPr>
        <w:t>in the European legal sphere</w:t>
      </w:r>
    </w:p>
    <w:p w14:paraId="43EBE92F" w14:textId="0FBA3296" w:rsidR="008C6AB4" w:rsidRDefault="00505CCF" w:rsidP="00A40600">
      <w:pPr>
        <w:rPr>
          <w:rFonts w:ascii="Times New Roman" w:hAnsi="Times New Roman" w:cs="Times New Roman"/>
          <w:sz w:val="24"/>
          <w:szCs w:val="24"/>
        </w:rPr>
      </w:pPr>
      <w:r w:rsidRPr="00D40888">
        <w:rPr>
          <w:rFonts w:ascii="Times New Roman" w:hAnsi="Times New Roman" w:cs="Times New Roman"/>
          <w:sz w:val="24"/>
          <w:szCs w:val="24"/>
        </w:rPr>
        <w:t>Liesbeth Todts</w:t>
      </w:r>
      <w:r w:rsidRPr="00505CCF">
        <w:rPr>
          <w:rStyle w:val="Odwoanieprzypisudolnego"/>
          <w:rFonts w:ascii="Times New Roman" w:hAnsi="Times New Roman" w:cs="Times New Roman"/>
          <w:sz w:val="24"/>
          <w:szCs w:val="24"/>
          <w:lang w:val="en-CA"/>
        </w:rPr>
        <w:footnoteReference w:id="1"/>
      </w:r>
    </w:p>
    <w:p w14:paraId="50E9244D" w14:textId="718A9887" w:rsidR="00A40600" w:rsidRPr="00A40600" w:rsidRDefault="00A40600" w:rsidP="00A40600">
      <w:pPr>
        <w:rPr>
          <w:rFonts w:ascii="Times New Roman" w:hAnsi="Times New Roman" w:cs="Times New Roman"/>
          <w:sz w:val="24"/>
          <w:szCs w:val="24"/>
        </w:rPr>
      </w:pPr>
    </w:p>
    <w:sdt>
      <w:sdtPr>
        <w:rPr>
          <w:rFonts w:asciiTheme="minorHAnsi" w:eastAsia="PMingLiU" w:hAnsiTheme="minorHAnsi" w:cstheme="minorBidi"/>
          <w:color w:val="auto"/>
          <w:sz w:val="22"/>
          <w:szCs w:val="22"/>
          <w:lang w:eastAsia="zh-TW"/>
        </w:rPr>
        <w:id w:val="-1320876729"/>
        <w:docPartObj>
          <w:docPartGallery w:val="Table of Contents"/>
          <w:docPartUnique/>
        </w:docPartObj>
      </w:sdtPr>
      <w:sdtEndPr>
        <w:rPr>
          <w:b/>
          <w:bCs/>
          <w:noProof/>
        </w:rPr>
      </w:sdtEndPr>
      <w:sdtContent>
        <w:p w14:paraId="1B228D2B" w14:textId="77777777" w:rsidR="00DE1CF6" w:rsidRDefault="00DE1CF6">
          <w:pPr>
            <w:pStyle w:val="Nagwekspisutreci"/>
          </w:pPr>
          <w:r>
            <w:t>Contents</w:t>
          </w:r>
        </w:p>
        <w:p w14:paraId="178E7361" w14:textId="77777777" w:rsidR="00DE1CF6" w:rsidRPr="00DE1CF6" w:rsidRDefault="00DE1CF6" w:rsidP="00DE1CF6">
          <w:pPr>
            <w:rPr>
              <w:lang w:eastAsia="nl-BE"/>
            </w:rPr>
          </w:pPr>
        </w:p>
        <w:p w14:paraId="3F4F8421" w14:textId="77777777" w:rsidR="00765E2B" w:rsidRDefault="00DE1CF6">
          <w:pPr>
            <w:pStyle w:val="Spistreci1"/>
            <w:tabs>
              <w:tab w:val="right" w:leader="dot" w:pos="9062"/>
            </w:tabs>
            <w:rPr>
              <w:rFonts w:eastAsiaTheme="minorEastAsia"/>
              <w:noProof/>
              <w:lang w:eastAsia="nl-BE"/>
            </w:rPr>
          </w:pPr>
          <w:r>
            <w:fldChar w:fldCharType="begin"/>
          </w:r>
          <w:r>
            <w:instrText xml:space="preserve"> TOC \o "1-3" \h \z \u </w:instrText>
          </w:r>
          <w:r>
            <w:fldChar w:fldCharType="separate"/>
          </w:r>
          <w:hyperlink w:anchor="_Toc462591607" w:history="1">
            <w:r w:rsidR="00765E2B" w:rsidRPr="00CA38C1">
              <w:rPr>
                <w:rStyle w:val="Hipercze"/>
                <w:noProof/>
                <w:lang w:val="en-CA"/>
              </w:rPr>
              <w:t>INTRODUCTION</w:t>
            </w:r>
            <w:r w:rsidR="00765E2B">
              <w:rPr>
                <w:noProof/>
                <w:webHidden/>
              </w:rPr>
              <w:tab/>
            </w:r>
            <w:r w:rsidR="00765E2B">
              <w:rPr>
                <w:noProof/>
                <w:webHidden/>
              </w:rPr>
              <w:fldChar w:fldCharType="begin"/>
            </w:r>
            <w:r w:rsidR="00765E2B">
              <w:rPr>
                <w:noProof/>
                <w:webHidden/>
              </w:rPr>
              <w:instrText xml:space="preserve"> PAGEREF _Toc462591607 \h </w:instrText>
            </w:r>
            <w:r w:rsidR="00765E2B">
              <w:rPr>
                <w:noProof/>
                <w:webHidden/>
              </w:rPr>
            </w:r>
            <w:r w:rsidR="00765E2B">
              <w:rPr>
                <w:noProof/>
                <w:webHidden/>
              </w:rPr>
              <w:fldChar w:fldCharType="separate"/>
            </w:r>
            <w:r w:rsidR="00765E2B">
              <w:rPr>
                <w:noProof/>
                <w:webHidden/>
              </w:rPr>
              <w:t>1</w:t>
            </w:r>
            <w:r w:rsidR="00765E2B">
              <w:rPr>
                <w:noProof/>
                <w:webHidden/>
              </w:rPr>
              <w:fldChar w:fldCharType="end"/>
            </w:r>
          </w:hyperlink>
        </w:p>
        <w:p w14:paraId="688CBABB" w14:textId="77777777" w:rsidR="00765E2B" w:rsidRDefault="00A6547C">
          <w:pPr>
            <w:pStyle w:val="Spistreci1"/>
            <w:tabs>
              <w:tab w:val="right" w:leader="dot" w:pos="9062"/>
            </w:tabs>
            <w:rPr>
              <w:rFonts w:eastAsiaTheme="minorEastAsia"/>
              <w:noProof/>
              <w:lang w:eastAsia="nl-BE"/>
            </w:rPr>
          </w:pPr>
          <w:hyperlink w:anchor="_Toc462591608" w:history="1">
            <w:r w:rsidR="00765E2B" w:rsidRPr="00CA38C1">
              <w:rPr>
                <w:rStyle w:val="Hipercze"/>
                <w:noProof/>
                <w:lang w:val="en-US"/>
              </w:rPr>
              <w:t>THE NATURE OF AREA-BASED RESTRICTIONS: CIVIL, CRIMINAL OR BOTH?</w:t>
            </w:r>
            <w:r w:rsidR="00765E2B">
              <w:rPr>
                <w:noProof/>
                <w:webHidden/>
              </w:rPr>
              <w:tab/>
            </w:r>
            <w:r w:rsidR="00765E2B">
              <w:rPr>
                <w:noProof/>
                <w:webHidden/>
              </w:rPr>
              <w:fldChar w:fldCharType="begin"/>
            </w:r>
            <w:r w:rsidR="00765E2B">
              <w:rPr>
                <w:noProof/>
                <w:webHidden/>
              </w:rPr>
              <w:instrText xml:space="preserve"> PAGEREF _Toc462591608 \h </w:instrText>
            </w:r>
            <w:r w:rsidR="00765E2B">
              <w:rPr>
                <w:noProof/>
                <w:webHidden/>
              </w:rPr>
            </w:r>
            <w:r w:rsidR="00765E2B">
              <w:rPr>
                <w:noProof/>
                <w:webHidden/>
              </w:rPr>
              <w:fldChar w:fldCharType="separate"/>
            </w:r>
            <w:r w:rsidR="00765E2B">
              <w:rPr>
                <w:noProof/>
                <w:webHidden/>
              </w:rPr>
              <w:t>7</w:t>
            </w:r>
            <w:r w:rsidR="00765E2B">
              <w:rPr>
                <w:noProof/>
                <w:webHidden/>
              </w:rPr>
              <w:fldChar w:fldCharType="end"/>
            </w:r>
          </w:hyperlink>
        </w:p>
        <w:p w14:paraId="79E4827A" w14:textId="77777777" w:rsidR="00765E2B" w:rsidRDefault="00A6547C">
          <w:pPr>
            <w:pStyle w:val="Spistreci1"/>
            <w:tabs>
              <w:tab w:val="right" w:leader="dot" w:pos="9062"/>
            </w:tabs>
            <w:rPr>
              <w:rFonts w:eastAsiaTheme="minorEastAsia"/>
              <w:noProof/>
              <w:lang w:eastAsia="nl-BE"/>
            </w:rPr>
          </w:pPr>
          <w:hyperlink w:anchor="_Toc462591609" w:history="1">
            <w:r w:rsidR="00765E2B" w:rsidRPr="00CA38C1">
              <w:rPr>
                <w:rStyle w:val="Hipercze"/>
                <w:noProof/>
                <w:lang w:val="en-US"/>
              </w:rPr>
              <w:t>THE PROPORTIONALITY OF AREA-BASED RESTRICTIONS</w:t>
            </w:r>
            <w:r w:rsidR="00765E2B">
              <w:rPr>
                <w:noProof/>
                <w:webHidden/>
              </w:rPr>
              <w:tab/>
            </w:r>
            <w:r w:rsidR="00765E2B">
              <w:rPr>
                <w:noProof/>
                <w:webHidden/>
              </w:rPr>
              <w:fldChar w:fldCharType="begin"/>
            </w:r>
            <w:r w:rsidR="00765E2B">
              <w:rPr>
                <w:noProof/>
                <w:webHidden/>
              </w:rPr>
              <w:instrText xml:space="preserve"> PAGEREF _Toc462591609 \h </w:instrText>
            </w:r>
            <w:r w:rsidR="00765E2B">
              <w:rPr>
                <w:noProof/>
                <w:webHidden/>
              </w:rPr>
            </w:r>
            <w:r w:rsidR="00765E2B">
              <w:rPr>
                <w:noProof/>
                <w:webHidden/>
              </w:rPr>
              <w:fldChar w:fldCharType="separate"/>
            </w:r>
            <w:r w:rsidR="00765E2B">
              <w:rPr>
                <w:noProof/>
                <w:webHidden/>
              </w:rPr>
              <w:t>11</w:t>
            </w:r>
            <w:r w:rsidR="00765E2B">
              <w:rPr>
                <w:noProof/>
                <w:webHidden/>
              </w:rPr>
              <w:fldChar w:fldCharType="end"/>
            </w:r>
          </w:hyperlink>
        </w:p>
        <w:p w14:paraId="4E6E8DC3" w14:textId="77777777" w:rsidR="00765E2B" w:rsidRDefault="00A6547C">
          <w:pPr>
            <w:pStyle w:val="Spistreci2"/>
            <w:tabs>
              <w:tab w:val="right" w:leader="dot" w:pos="9062"/>
            </w:tabs>
            <w:rPr>
              <w:rFonts w:eastAsiaTheme="minorEastAsia"/>
              <w:noProof/>
              <w:lang w:eastAsia="nl-BE"/>
            </w:rPr>
          </w:pPr>
          <w:hyperlink w:anchor="_Toc462591610" w:history="1">
            <w:r w:rsidR="00765E2B" w:rsidRPr="00CA38C1">
              <w:rPr>
                <w:rStyle w:val="Hipercze"/>
                <w:noProof/>
                <w:lang w:val="en-US"/>
              </w:rPr>
              <w:t>THE EUROPEAN COURT OF HUMAN RIGHTS</w:t>
            </w:r>
            <w:r w:rsidR="00765E2B">
              <w:rPr>
                <w:noProof/>
                <w:webHidden/>
              </w:rPr>
              <w:tab/>
            </w:r>
            <w:r w:rsidR="00765E2B">
              <w:rPr>
                <w:noProof/>
                <w:webHidden/>
              </w:rPr>
              <w:fldChar w:fldCharType="begin"/>
            </w:r>
            <w:r w:rsidR="00765E2B">
              <w:rPr>
                <w:noProof/>
                <w:webHidden/>
              </w:rPr>
              <w:instrText xml:space="preserve"> PAGEREF _Toc462591610 \h </w:instrText>
            </w:r>
            <w:r w:rsidR="00765E2B">
              <w:rPr>
                <w:noProof/>
                <w:webHidden/>
              </w:rPr>
            </w:r>
            <w:r w:rsidR="00765E2B">
              <w:rPr>
                <w:noProof/>
                <w:webHidden/>
              </w:rPr>
              <w:fldChar w:fldCharType="separate"/>
            </w:r>
            <w:r w:rsidR="00765E2B">
              <w:rPr>
                <w:noProof/>
                <w:webHidden/>
              </w:rPr>
              <w:t>11</w:t>
            </w:r>
            <w:r w:rsidR="00765E2B">
              <w:rPr>
                <w:noProof/>
                <w:webHidden/>
              </w:rPr>
              <w:fldChar w:fldCharType="end"/>
            </w:r>
          </w:hyperlink>
        </w:p>
        <w:p w14:paraId="02414D08" w14:textId="77777777" w:rsidR="00765E2B" w:rsidRDefault="00A6547C">
          <w:pPr>
            <w:pStyle w:val="Spistreci2"/>
            <w:tabs>
              <w:tab w:val="right" w:leader="dot" w:pos="9062"/>
            </w:tabs>
            <w:rPr>
              <w:rFonts w:eastAsiaTheme="minorEastAsia"/>
              <w:noProof/>
              <w:lang w:eastAsia="nl-BE"/>
            </w:rPr>
          </w:pPr>
          <w:hyperlink w:anchor="_Toc462591611" w:history="1">
            <w:r w:rsidR="00765E2B" w:rsidRPr="00CA38C1">
              <w:rPr>
                <w:rStyle w:val="Hipercze"/>
                <w:noProof/>
                <w:lang w:val="en-US"/>
              </w:rPr>
              <w:t>THE PROPORTIONALITY PRINCIPLE IN THE BELGIAN COUNCIL OF STATE’S CASE LAW</w:t>
            </w:r>
            <w:r w:rsidR="00765E2B">
              <w:rPr>
                <w:noProof/>
                <w:webHidden/>
              </w:rPr>
              <w:tab/>
            </w:r>
            <w:r w:rsidR="00765E2B">
              <w:rPr>
                <w:noProof/>
                <w:webHidden/>
              </w:rPr>
              <w:fldChar w:fldCharType="begin"/>
            </w:r>
            <w:r w:rsidR="00765E2B">
              <w:rPr>
                <w:noProof/>
                <w:webHidden/>
              </w:rPr>
              <w:instrText xml:space="preserve"> PAGEREF _Toc462591611 \h </w:instrText>
            </w:r>
            <w:r w:rsidR="00765E2B">
              <w:rPr>
                <w:noProof/>
                <w:webHidden/>
              </w:rPr>
            </w:r>
            <w:r w:rsidR="00765E2B">
              <w:rPr>
                <w:noProof/>
                <w:webHidden/>
              </w:rPr>
              <w:fldChar w:fldCharType="separate"/>
            </w:r>
            <w:r w:rsidR="00765E2B">
              <w:rPr>
                <w:noProof/>
                <w:webHidden/>
              </w:rPr>
              <w:t>14</w:t>
            </w:r>
            <w:r w:rsidR="00765E2B">
              <w:rPr>
                <w:noProof/>
                <w:webHidden/>
              </w:rPr>
              <w:fldChar w:fldCharType="end"/>
            </w:r>
          </w:hyperlink>
        </w:p>
        <w:p w14:paraId="1E34E18F" w14:textId="77777777" w:rsidR="00765E2B" w:rsidRDefault="00A6547C">
          <w:pPr>
            <w:pStyle w:val="Spistreci2"/>
            <w:tabs>
              <w:tab w:val="right" w:leader="dot" w:pos="9062"/>
            </w:tabs>
            <w:rPr>
              <w:rFonts w:eastAsiaTheme="minorEastAsia"/>
              <w:noProof/>
              <w:lang w:eastAsia="nl-BE"/>
            </w:rPr>
          </w:pPr>
          <w:hyperlink w:anchor="_Toc462591612" w:history="1">
            <w:r w:rsidR="00765E2B" w:rsidRPr="00CA38C1">
              <w:rPr>
                <w:rStyle w:val="Hipercze"/>
                <w:noProof/>
                <w:lang w:val="en-US"/>
              </w:rPr>
              <w:t>THE PROPORTIONALITY PRINCIPLE IN THE UK CASE LAW</w:t>
            </w:r>
            <w:r w:rsidR="00765E2B">
              <w:rPr>
                <w:noProof/>
                <w:webHidden/>
              </w:rPr>
              <w:tab/>
            </w:r>
            <w:r w:rsidR="00765E2B">
              <w:rPr>
                <w:noProof/>
                <w:webHidden/>
              </w:rPr>
              <w:fldChar w:fldCharType="begin"/>
            </w:r>
            <w:r w:rsidR="00765E2B">
              <w:rPr>
                <w:noProof/>
                <w:webHidden/>
              </w:rPr>
              <w:instrText xml:space="preserve"> PAGEREF _Toc462591612 \h </w:instrText>
            </w:r>
            <w:r w:rsidR="00765E2B">
              <w:rPr>
                <w:noProof/>
                <w:webHidden/>
              </w:rPr>
            </w:r>
            <w:r w:rsidR="00765E2B">
              <w:rPr>
                <w:noProof/>
                <w:webHidden/>
              </w:rPr>
              <w:fldChar w:fldCharType="separate"/>
            </w:r>
            <w:r w:rsidR="00765E2B">
              <w:rPr>
                <w:noProof/>
                <w:webHidden/>
              </w:rPr>
              <w:t>17</w:t>
            </w:r>
            <w:r w:rsidR="00765E2B">
              <w:rPr>
                <w:noProof/>
                <w:webHidden/>
              </w:rPr>
              <w:fldChar w:fldCharType="end"/>
            </w:r>
          </w:hyperlink>
        </w:p>
        <w:p w14:paraId="6DBDE086" w14:textId="77777777" w:rsidR="00765E2B" w:rsidRDefault="00A6547C">
          <w:pPr>
            <w:pStyle w:val="Spistreci1"/>
            <w:tabs>
              <w:tab w:val="right" w:leader="dot" w:pos="9062"/>
            </w:tabs>
            <w:rPr>
              <w:rFonts w:eastAsiaTheme="minorEastAsia"/>
              <w:noProof/>
              <w:lang w:eastAsia="nl-BE"/>
            </w:rPr>
          </w:pPr>
          <w:hyperlink w:anchor="_Toc462591613" w:history="1">
            <w:r w:rsidR="00765E2B" w:rsidRPr="00CA38C1">
              <w:rPr>
                <w:rStyle w:val="Hipercze"/>
                <w:noProof/>
                <w:lang w:val="en-CA"/>
              </w:rPr>
              <w:t>CONCLUSION</w:t>
            </w:r>
            <w:r w:rsidR="00765E2B">
              <w:rPr>
                <w:noProof/>
                <w:webHidden/>
              </w:rPr>
              <w:tab/>
            </w:r>
            <w:r w:rsidR="00765E2B">
              <w:rPr>
                <w:noProof/>
                <w:webHidden/>
              </w:rPr>
              <w:fldChar w:fldCharType="begin"/>
            </w:r>
            <w:r w:rsidR="00765E2B">
              <w:rPr>
                <w:noProof/>
                <w:webHidden/>
              </w:rPr>
              <w:instrText xml:space="preserve"> PAGEREF _Toc462591613 \h </w:instrText>
            </w:r>
            <w:r w:rsidR="00765E2B">
              <w:rPr>
                <w:noProof/>
                <w:webHidden/>
              </w:rPr>
            </w:r>
            <w:r w:rsidR="00765E2B">
              <w:rPr>
                <w:noProof/>
                <w:webHidden/>
              </w:rPr>
              <w:fldChar w:fldCharType="separate"/>
            </w:r>
            <w:r w:rsidR="00765E2B">
              <w:rPr>
                <w:noProof/>
                <w:webHidden/>
              </w:rPr>
              <w:t>21</w:t>
            </w:r>
            <w:r w:rsidR="00765E2B">
              <w:rPr>
                <w:noProof/>
                <w:webHidden/>
              </w:rPr>
              <w:fldChar w:fldCharType="end"/>
            </w:r>
          </w:hyperlink>
        </w:p>
        <w:p w14:paraId="06F771AB" w14:textId="77777777" w:rsidR="00DE1CF6" w:rsidRDefault="00DE1CF6">
          <w:r>
            <w:rPr>
              <w:b/>
              <w:bCs/>
              <w:noProof/>
            </w:rPr>
            <w:fldChar w:fldCharType="end"/>
          </w:r>
        </w:p>
      </w:sdtContent>
    </w:sdt>
    <w:p w14:paraId="5DD05E93" w14:textId="77777777" w:rsidR="00BC0FC3" w:rsidRPr="00D40888" w:rsidRDefault="00BC0FC3" w:rsidP="00AA7F9A">
      <w:pPr>
        <w:rPr>
          <w:rFonts w:ascii="Times New Roman" w:hAnsi="Times New Roman" w:cs="Times New Roman"/>
          <w:sz w:val="24"/>
          <w:szCs w:val="24"/>
        </w:rPr>
      </w:pPr>
    </w:p>
    <w:p w14:paraId="1DC902C0" w14:textId="77777777" w:rsidR="005F64ED" w:rsidRPr="00BF2E2C" w:rsidRDefault="005F64ED" w:rsidP="002118AC">
      <w:pPr>
        <w:pStyle w:val="Nagwek1"/>
        <w:rPr>
          <w:lang w:val="en-CA"/>
        </w:rPr>
      </w:pPr>
      <w:bookmarkStart w:id="1" w:name="_Toc453965889"/>
      <w:bookmarkStart w:id="2" w:name="_Toc462591607"/>
      <w:r w:rsidRPr="00BF2E2C">
        <w:rPr>
          <w:lang w:val="en-CA"/>
        </w:rPr>
        <w:t>INTRODUCTION</w:t>
      </w:r>
      <w:bookmarkEnd w:id="1"/>
      <w:bookmarkEnd w:id="2"/>
    </w:p>
    <w:p w14:paraId="437B2EF4" w14:textId="77777777" w:rsidR="0049278C" w:rsidRDefault="0049278C" w:rsidP="0049278C">
      <w:pPr>
        <w:rPr>
          <w:b/>
          <w:lang w:val="en-CA"/>
        </w:rPr>
      </w:pPr>
    </w:p>
    <w:p w14:paraId="5E9BE625" w14:textId="2B794AF3" w:rsidR="00245C62" w:rsidRPr="00FE637D" w:rsidRDefault="002F3B5D" w:rsidP="00245C62">
      <w:pPr>
        <w:jc w:val="both"/>
        <w:rPr>
          <w:rFonts w:ascii="Times New Roman" w:hAnsi="Times New Roman" w:cs="Times New Roman"/>
          <w:sz w:val="24"/>
          <w:szCs w:val="24"/>
          <w:highlight w:val="yellow"/>
          <w:lang w:val="en-CA"/>
        </w:rPr>
      </w:pPr>
      <w:r w:rsidRPr="002F3B5D">
        <w:rPr>
          <w:rFonts w:ascii="Times New Roman" w:hAnsi="Times New Roman" w:cs="Times New Roman"/>
          <w:sz w:val="24"/>
          <w:szCs w:val="24"/>
          <w:lang w:val="en-CA"/>
        </w:rPr>
        <w:t>Th</w:t>
      </w:r>
      <w:r>
        <w:rPr>
          <w:rFonts w:ascii="Times New Roman" w:hAnsi="Times New Roman" w:cs="Times New Roman"/>
          <w:sz w:val="24"/>
          <w:szCs w:val="24"/>
          <w:lang w:val="en-CA"/>
        </w:rPr>
        <w:t>e</w:t>
      </w:r>
      <w:r w:rsidR="00B7455E" w:rsidRPr="00B1704D">
        <w:rPr>
          <w:rFonts w:ascii="Times New Roman" w:hAnsi="Times New Roman" w:cs="Times New Roman"/>
          <w:sz w:val="24"/>
          <w:szCs w:val="24"/>
          <w:lang w:val="en-CA"/>
        </w:rPr>
        <w:t xml:space="preserve"> </w:t>
      </w:r>
      <w:r w:rsidR="00411BA9">
        <w:rPr>
          <w:rFonts w:ascii="Times New Roman" w:hAnsi="Times New Roman" w:cs="Times New Roman"/>
          <w:sz w:val="24"/>
          <w:szCs w:val="24"/>
          <w:lang w:val="en-CA"/>
        </w:rPr>
        <w:t xml:space="preserve">Belgian </w:t>
      </w:r>
      <w:r w:rsidR="00BC2655">
        <w:rPr>
          <w:rFonts w:ascii="Times New Roman" w:hAnsi="Times New Roman" w:cs="Times New Roman"/>
          <w:sz w:val="24"/>
          <w:szCs w:val="24"/>
          <w:lang w:val="en-CA"/>
        </w:rPr>
        <w:t xml:space="preserve">and UK </w:t>
      </w:r>
      <w:r w:rsidR="00B7455E" w:rsidRPr="00B1704D">
        <w:rPr>
          <w:rFonts w:ascii="Times New Roman" w:hAnsi="Times New Roman" w:cs="Times New Roman"/>
          <w:sz w:val="24"/>
          <w:szCs w:val="24"/>
          <w:lang w:val="en-CA"/>
        </w:rPr>
        <w:t xml:space="preserve">legislator increasingly provide the </w:t>
      </w:r>
      <w:r w:rsidR="00411BA9" w:rsidRPr="00CE57AE">
        <w:rPr>
          <w:rFonts w:ascii="Times New Roman" w:hAnsi="Times New Roman" w:cs="Times New Roman"/>
          <w:sz w:val="24"/>
          <w:szCs w:val="24"/>
          <w:lang w:val="en-CA"/>
        </w:rPr>
        <w:t>executive</w:t>
      </w:r>
      <w:r w:rsidR="00B7455E" w:rsidRPr="00B1704D">
        <w:rPr>
          <w:rFonts w:ascii="Times New Roman" w:hAnsi="Times New Roman" w:cs="Times New Roman"/>
          <w:sz w:val="24"/>
          <w:szCs w:val="24"/>
          <w:lang w:val="en-CA"/>
        </w:rPr>
        <w:t xml:space="preserve"> </w:t>
      </w:r>
      <w:r w:rsidR="00245C62">
        <w:rPr>
          <w:rFonts w:ascii="Times New Roman" w:hAnsi="Times New Roman" w:cs="Times New Roman"/>
          <w:sz w:val="24"/>
          <w:szCs w:val="24"/>
          <w:lang w:val="en-CA"/>
        </w:rPr>
        <w:t xml:space="preserve">and the judge </w:t>
      </w:r>
      <w:r w:rsidR="002128F2" w:rsidRPr="004B304C">
        <w:rPr>
          <w:rFonts w:ascii="Times New Roman" w:hAnsi="Times New Roman" w:cs="Times New Roman"/>
          <w:sz w:val="24"/>
          <w:szCs w:val="24"/>
          <w:lang w:val="en-CA"/>
        </w:rPr>
        <w:t xml:space="preserve">with powers to </w:t>
      </w:r>
      <w:r w:rsidR="00730BDA">
        <w:rPr>
          <w:rFonts w:ascii="Times New Roman" w:hAnsi="Times New Roman" w:cs="Times New Roman"/>
          <w:sz w:val="24"/>
          <w:szCs w:val="24"/>
          <w:lang w:val="en-CA"/>
        </w:rPr>
        <w:t>maintain</w:t>
      </w:r>
      <w:r w:rsidR="002128F2" w:rsidRPr="004B304C">
        <w:rPr>
          <w:rFonts w:ascii="Times New Roman" w:hAnsi="Times New Roman" w:cs="Times New Roman"/>
          <w:sz w:val="24"/>
          <w:szCs w:val="24"/>
          <w:lang w:val="en-CA"/>
        </w:rPr>
        <w:t xml:space="preserve"> public order that restrict the freedom of movement of the individual</w:t>
      </w:r>
      <w:r w:rsidR="002128F2">
        <w:rPr>
          <w:rFonts w:ascii="Times New Roman" w:hAnsi="Times New Roman" w:cs="Times New Roman"/>
          <w:sz w:val="24"/>
          <w:szCs w:val="24"/>
          <w:lang w:val="en-CA"/>
        </w:rPr>
        <w:t xml:space="preserve">. </w:t>
      </w:r>
      <w:r w:rsidR="00CE57AE" w:rsidRPr="001E0453">
        <w:rPr>
          <w:rFonts w:ascii="Times New Roman" w:hAnsi="Times New Roman" w:cs="Times New Roman"/>
          <w:sz w:val="24"/>
          <w:szCs w:val="24"/>
          <w:lang w:val="en-CA"/>
        </w:rPr>
        <w:t xml:space="preserve">In Belgium, </w:t>
      </w:r>
      <w:r w:rsidR="00CE57AE" w:rsidRPr="003C7803">
        <w:rPr>
          <w:rFonts w:ascii="Times New Roman" w:hAnsi="Times New Roman" w:cs="Times New Roman"/>
          <w:sz w:val="24"/>
          <w:szCs w:val="24"/>
          <w:lang w:val="en-CA"/>
        </w:rPr>
        <w:t xml:space="preserve">the maintenance of public order is primarily a </w:t>
      </w:r>
      <w:r w:rsidR="001E0453" w:rsidRPr="003C7803">
        <w:rPr>
          <w:rFonts w:ascii="Times New Roman" w:hAnsi="Times New Roman" w:cs="Times New Roman"/>
          <w:sz w:val="24"/>
          <w:szCs w:val="24"/>
          <w:lang w:val="en-CA"/>
        </w:rPr>
        <w:t>competence of</w:t>
      </w:r>
      <w:r w:rsidR="00CE57AE" w:rsidRPr="001E0453">
        <w:rPr>
          <w:rFonts w:ascii="Times New Roman" w:hAnsi="Times New Roman" w:cs="Times New Roman"/>
          <w:sz w:val="24"/>
          <w:szCs w:val="24"/>
          <w:lang w:val="en-CA"/>
        </w:rPr>
        <w:t xml:space="preserve"> the local </w:t>
      </w:r>
      <w:r w:rsidR="000F22DA">
        <w:rPr>
          <w:rFonts w:ascii="Times New Roman" w:hAnsi="Times New Roman" w:cs="Times New Roman"/>
          <w:sz w:val="24"/>
          <w:szCs w:val="24"/>
          <w:lang w:val="en-CA"/>
        </w:rPr>
        <w:t xml:space="preserve">administrative </w:t>
      </w:r>
      <w:r w:rsidR="00CE57AE" w:rsidRPr="001E0453">
        <w:rPr>
          <w:rFonts w:ascii="Times New Roman" w:hAnsi="Times New Roman" w:cs="Times New Roman"/>
          <w:sz w:val="24"/>
          <w:szCs w:val="24"/>
          <w:lang w:val="en-CA"/>
        </w:rPr>
        <w:t xml:space="preserve">authorities, in </w:t>
      </w:r>
      <w:r w:rsidR="001E0453" w:rsidRPr="001E0453">
        <w:rPr>
          <w:rFonts w:ascii="Times New Roman" w:hAnsi="Times New Roman" w:cs="Times New Roman"/>
          <w:sz w:val="24"/>
          <w:szCs w:val="24"/>
          <w:lang w:val="en-CA"/>
        </w:rPr>
        <w:t>particular</w:t>
      </w:r>
      <w:r w:rsidR="00CE57AE" w:rsidRPr="001E0453">
        <w:rPr>
          <w:rFonts w:ascii="Times New Roman" w:hAnsi="Times New Roman" w:cs="Times New Roman"/>
          <w:sz w:val="24"/>
          <w:szCs w:val="24"/>
          <w:lang w:val="en-CA"/>
        </w:rPr>
        <w:t xml:space="preserve"> the mayor</w:t>
      </w:r>
      <w:r w:rsidR="00FE637D" w:rsidRPr="001E0453">
        <w:rPr>
          <w:rFonts w:ascii="Times New Roman" w:hAnsi="Times New Roman" w:cs="Times New Roman"/>
          <w:sz w:val="24"/>
          <w:szCs w:val="24"/>
          <w:lang w:val="en-CA"/>
        </w:rPr>
        <w:t>.</w:t>
      </w:r>
      <w:r w:rsidR="00245C62" w:rsidRPr="001E0453">
        <w:rPr>
          <w:rFonts w:ascii="Times New Roman" w:hAnsi="Times New Roman" w:cs="Times New Roman"/>
          <w:sz w:val="24"/>
          <w:szCs w:val="24"/>
          <w:lang w:val="en-CA"/>
        </w:rPr>
        <w:t xml:space="preserve"> </w:t>
      </w:r>
      <w:r w:rsidR="001E0453">
        <w:rPr>
          <w:rFonts w:ascii="Times New Roman" w:hAnsi="Times New Roman" w:cs="Times New Roman"/>
          <w:sz w:val="24"/>
          <w:szCs w:val="24"/>
          <w:lang w:val="en-CA"/>
        </w:rPr>
        <w:t>For example,</w:t>
      </w:r>
      <w:r w:rsidR="00FE637D">
        <w:rPr>
          <w:rFonts w:ascii="Times New Roman" w:hAnsi="Times New Roman" w:cs="Times New Roman"/>
          <w:sz w:val="24"/>
          <w:szCs w:val="24"/>
          <w:lang w:val="en-CA"/>
        </w:rPr>
        <w:t xml:space="preserve"> </w:t>
      </w:r>
      <w:r w:rsidR="00FE637D">
        <w:rPr>
          <w:rFonts w:ascii="Times New Roman" w:eastAsia="Times New Roman" w:hAnsi="Times New Roman" w:cs="Times New Roman"/>
          <w:sz w:val="24"/>
          <w:szCs w:val="24"/>
          <w:lang w:val="en-CA" w:eastAsia="nl-BE"/>
        </w:rPr>
        <w:t>a</w:t>
      </w:r>
      <w:r w:rsidR="00FE637D" w:rsidRPr="00EC1301">
        <w:rPr>
          <w:rFonts w:ascii="Times New Roman" w:eastAsia="Times New Roman" w:hAnsi="Times New Roman" w:cs="Times New Roman"/>
          <w:sz w:val="24"/>
          <w:szCs w:val="24"/>
          <w:lang w:val="en-CA" w:eastAsia="nl-BE"/>
        </w:rPr>
        <w:t xml:space="preserve"> </w:t>
      </w:r>
      <w:r w:rsidR="00FE637D" w:rsidRPr="003A59DB">
        <w:rPr>
          <w:rFonts w:ascii="Times New Roman" w:eastAsia="Times New Roman" w:hAnsi="Times New Roman" w:cs="Times New Roman"/>
          <w:sz w:val="24"/>
          <w:szCs w:val="24"/>
          <w:lang w:val="en-CA" w:eastAsia="nl-BE"/>
        </w:rPr>
        <w:t xml:space="preserve">new </w:t>
      </w:r>
      <w:r w:rsidR="00571696">
        <w:rPr>
          <w:rFonts w:ascii="Times New Roman" w:eastAsia="Times New Roman" w:hAnsi="Times New Roman" w:cs="Times New Roman"/>
          <w:sz w:val="24"/>
          <w:szCs w:val="24"/>
          <w:lang w:val="en-CA" w:eastAsia="nl-BE"/>
        </w:rPr>
        <w:t>Article</w:t>
      </w:r>
      <w:r w:rsidR="00FE637D" w:rsidRPr="003A59DB">
        <w:rPr>
          <w:rFonts w:ascii="Times New Roman" w:eastAsia="Times New Roman" w:hAnsi="Times New Roman" w:cs="Times New Roman"/>
          <w:sz w:val="24"/>
          <w:szCs w:val="24"/>
          <w:lang w:val="en-CA" w:eastAsia="nl-BE"/>
        </w:rPr>
        <w:t xml:space="preserve"> 134</w:t>
      </w:r>
      <w:r w:rsidR="00FE637D" w:rsidRPr="00C963FD">
        <w:rPr>
          <w:rFonts w:ascii="Times New Roman" w:eastAsia="Times New Roman" w:hAnsi="Times New Roman" w:cs="Times New Roman"/>
          <w:i/>
          <w:sz w:val="24"/>
          <w:szCs w:val="24"/>
          <w:lang w:val="en-CA" w:eastAsia="nl-BE"/>
        </w:rPr>
        <w:t>sexies</w:t>
      </w:r>
      <w:r w:rsidR="00FE637D" w:rsidRPr="003A59DB">
        <w:rPr>
          <w:rFonts w:ascii="Times New Roman" w:eastAsia="Times New Roman" w:hAnsi="Times New Roman" w:cs="Times New Roman"/>
          <w:sz w:val="24"/>
          <w:szCs w:val="24"/>
          <w:lang w:val="en-CA" w:eastAsia="nl-BE"/>
        </w:rPr>
        <w:t xml:space="preserve"> has been inserted in the </w:t>
      </w:r>
      <w:r w:rsidR="001E0453">
        <w:rPr>
          <w:rFonts w:ascii="Times New Roman" w:eastAsia="Times New Roman" w:hAnsi="Times New Roman" w:cs="Times New Roman"/>
          <w:sz w:val="24"/>
          <w:szCs w:val="24"/>
          <w:lang w:val="en-CA" w:eastAsia="nl-BE"/>
        </w:rPr>
        <w:t xml:space="preserve">Belgian </w:t>
      </w:r>
      <w:r w:rsidR="00FE637D" w:rsidRPr="003A59DB">
        <w:rPr>
          <w:rFonts w:ascii="Times New Roman" w:eastAsia="Times New Roman" w:hAnsi="Times New Roman" w:cs="Times New Roman"/>
          <w:sz w:val="24"/>
          <w:szCs w:val="24"/>
          <w:lang w:val="en-CA" w:eastAsia="nl-BE"/>
        </w:rPr>
        <w:t>New Municipality Act (</w:t>
      </w:r>
      <w:r w:rsidR="00FE637D">
        <w:rPr>
          <w:rFonts w:ascii="Times New Roman" w:eastAsia="Times New Roman" w:hAnsi="Times New Roman" w:cs="Times New Roman"/>
          <w:sz w:val="24"/>
          <w:szCs w:val="24"/>
          <w:lang w:val="en-CA" w:eastAsia="nl-BE"/>
        </w:rPr>
        <w:t>“</w:t>
      </w:r>
      <w:r w:rsidR="00FE637D" w:rsidRPr="003A59DB">
        <w:rPr>
          <w:rFonts w:ascii="Times New Roman" w:eastAsia="Times New Roman" w:hAnsi="Times New Roman" w:cs="Times New Roman"/>
          <w:sz w:val="24"/>
          <w:szCs w:val="24"/>
          <w:lang w:val="en-CA" w:eastAsia="nl-BE"/>
        </w:rPr>
        <w:t>NMA</w:t>
      </w:r>
      <w:r w:rsidR="00FE637D">
        <w:rPr>
          <w:rFonts w:ascii="Times New Roman" w:eastAsia="Times New Roman" w:hAnsi="Times New Roman" w:cs="Times New Roman"/>
          <w:sz w:val="24"/>
          <w:szCs w:val="24"/>
          <w:lang w:val="en-CA" w:eastAsia="nl-BE"/>
        </w:rPr>
        <w:t>”</w:t>
      </w:r>
      <w:r w:rsidR="00FE637D" w:rsidRPr="003A59DB">
        <w:rPr>
          <w:rFonts w:ascii="Times New Roman" w:eastAsia="Times New Roman" w:hAnsi="Times New Roman" w:cs="Times New Roman"/>
          <w:sz w:val="24"/>
          <w:szCs w:val="24"/>
          <w:lang w:val="en-CA" w:eastAsia="nl-BE"/>
        </w:rPr>
        <w:t xml:space="preserve">), </w:t>
      </w:r>
      <w:r w:rsidR="00B56412">
        <w:rPr>
          <w:rFonts w:ascii="Times New Roman" w:eastAsia="Times New Roman" w:hAnsi="Times New Roman" w:cs="Times New Roman"/>
          <w:sz w:val="24"/>
          <w:szCs w:val="24"/>
          <w:lang w:val="en-CA" w:eastAsia="nl-BE"/>
        </w:rPr>
        <w:t>which gives</w:t>
      </w:r>
      <w:r w:rsidR="00FE637D" w:rsidRPr="003A59DB">
        <w:rPr>
          <w:rFonts w:ascii="Times New Roman" w:eastAsia="Times New Roman" w:hAnsi="Times New Roman" w:cs="Times New Roman"/>
          <w:sz w:val="24"/>
          <w:szCs w:val="24"/>
          <w:lang w:val="en-CA" w:eastAsia="nl-BE"/>
        </w:rPr>
        <w:t xml:space="preserve"> mayor</w:t>
      </w:r>
      <w:r w:rsidR="00A07771">
        <w:rPr>
          <w:rFonts w:ascii="Times New Roman" w:eastAsia="Times New Roman" w:hAnsi="Times New Roman" w:cs="Times New Roman"/>
          <w:sz w:val="24"/>
          <w:szCs w:val="24"/>
          <w:lang w:val="en-CA" w:eastAsia="nl-BE"/>
        </w:rPr>
        <w:t>s</w:t>
      </w:r>
      <w:r w:rsidR="00FE637D" w:rsidRPr="003A59DB">
        <w:rPr>
          <w:rFonts w:ascii="Times New Roman" w:eastAsia="Times New Roman" w:hAnsi="Times New Roman" w:cs="Times New Roman"/>
          <w:sz w:val="24"/>
          <w:szCs w:val="24"/>
          <w:lang w:val="en-CA" w:eastAsia="nl-BE"/>
        </w:rPr>
        <w:t xml:space="preserve"> the power to maintain public order</w:t>
      </w:r>
      <w:r w:rsidR="00FE637D" w:rsidRPr="00EC1301">
        <w:rPr>
          <w:rFonts w:ascii="Times New Roman" w:eastAsia="Times New Roman" w:hAnsi="Times New Roman" w:cs="Times New Roman"/>
          <w:sz w:val="24"/>
          <w:szCs w:val="24"/>
          <w:lang w:val="en-CA" w:eastAsia="nl-BE"/>
        </w:rPr>
        <w:t xml:space="preserve"> by </w:t>
      </w:r>
      <w:r w:rsidR="00FE637D">
        <w:rPr>
          <w:rFonts w:ascii="Times New Roman" w:eastAsia="Times New Roman" w:hAnsi="Times New Roman" w:cs="Times New Roman"/>
          <w:sz w:val="24"/>
          <w:szCs w:val="24"/>
          <w:lang w:val="en-CA" w:eastAsia="nl-BE"/>
        </w:rPr>
        <w:t>imposing</w:t>
      </w:r>
      <w:r w:rsidR="00FE637D" w:rsidRPr="00EC1301">
        <w:rPr>
          <w:rFonts w:ascii="Times New Roman" w:eastAsia="Times New Roman" w:hAnsi="Times New Roman" w:cs="Times New Roman"/>
          <w:sz w:val="24"/>
          <w:szCs w:val="24"/>
          <w:lang w:val="en-CA" w:eastAsia="nl-BE"/>
        </w:rPr>
        <w:t xml:space="preserve"> a </w:t>
      </w:r>
      <w:r w:rsidR="00730BDA">
        <w:rPr>
          <w:rFonts w:ascii="Times New Roman" w:eastAsia="Times New Roman" w:hAnsi="Times New Roman" w:cs="Times New Roman"/>
          <w:sz w:val="24"/>
          <w:szCs w:val="24"/>
          <w:lang w:val="en-CA" w:eastAsia="nl-BE"/>
        </w:rPr>
        <w:t xml:space="preserve">so-called </w:t>
      </w:r>
      <w:r w:rsidR="00FE637D">
        <w:rPr>
          <w:rFonts w:ascii="Times New Roman" w:eastAsia="Times New Roman" w:hAnsi="Times New Roman" w:cs="Times New Roman"/>
          <w:sz w:val="24"/>
          <w:szCs w:val="24"/>
          <w:lang w:val="en-CA" w:eastAsia="nl-BE"/>
        </w:rPr>
        <w:t>‘</w:t>
      </w:r>
      <w:r w:rsidR="00FE637D" w:rsidRPr="004952A3">
        <w:rPr>
          <w:rFonts w:ascii="Times New Roman" w:eastAsia="Times New Roman" w:hAnsi="Times New Roman" w:cs="Times New Roman"/>
          <w:sz w:val="24"/>
          <w:szCs w:val="24"/>
          <w:lang w:val="en-CA" w:eastAsia="nl-BE"/>
        </w:rPr>
        <w:t>temporary prohibition of place</w:t>
      </w:r>
      <w:r w:rsidR="00FE637D">
        <w:rPr>
          <w:rFonts w:ascii="Times New Roman" w:eastAsia="Times New Roman" w:hAnsi="Times New Roman" w:cs="Times New Roman"/>
          <w:sz w:val="24"/>
          <w:szCs w:val="24"/>
          <w:lang w:val="en-CA" w:eastAsia="nl-BE"/>
        </w:rPr>
        <w:t>’</w:t>
      </w:r>
      <w:r w:rsidR="00FE637D" w:rsidRPr="00817E2C">
        <w:rPr>
          <w:rStyle w:val="Odwoanieprzypisudolnego"/>
          <w:rFonts w:ascii="Times New Roman" w:eastAsia="Times New Roman" w:hAnsi="Times New Roman" w:cs="Times New Roman"/>
          <w:sz w:val="24"/>
          <w:szCs w:val="24"/>
          <w:lang w:val="en-CA" w:eastAsia="nl-BE"/>
        </w:rPr>
        <w:footnoteReference w:id="2"/>
      </w:r>
      <w:r w:rsidR="00FE637D" w:rsidRPr="00EC1301">
        <w:rPr>
          <w:rFonts w:ascii="Times New Roman" w:eastAsia="Times New Roman" w:hAnsi="Times New Roman" w:cs="Times New Roman"/>
          <w:sz w:val="24"/>
          <w:szCs w:val="24"/>
          <w:lang w:val="en-CA" w:eastAsia="nl-BE"/>
        </w:rPr>
        <w:t>.</w:t>
      </w:r>
      <w:r w:rsidR="00FE637D">
        <w:rPr>
          <w:rFonts w:ascii="Times New Roman" w:eastAsia="Times New Roman" w:hAnsi="Times New Roman" w:cs="Times New Roman"/>
          <w:sz w:val="24"/>
          <w:szCs w:val="24"/>
          <w:lang w:val="en-CA" w:eastAsia="nl-BE"/>
        </w:rPr>
        <w:t xml:space="preserve"> </w:t>
      </w:r>
      <w:r w:rsidR="00FE637D" w:rsidRPr="00EC1301">
        <w:rPr>
          <w:rFonts w:ascii="Times New Roman" w:eastAsia="Times New Roman" w:hAnsi="Times New Roman" w:cs="Times New Roman"/>
          <w:sz w:val="24"/>
          <w:szCs w:val="24"/>
          <w:lang w:val="en-CA" w:eastAsia="nl-BE"/>
        </w:rPr>
        <w:t>On this g</w:t>
      </w:r>
      <w:r w:rsidR="00FE637D">
        <w:rPr>
          <w:rFonts w:ascii="Times New Roman" w:eastAsia="Times New Roman" w:hAnsi="Times New Roman" w:cs="Times New Roman"/>
          <w:sz w:val="24"/>
          <w:szCs w:val="24"/>
          <w:lang w:val="en-CA" w:eastAsia="nl-BE"/>
        </w:rPr>
        <w:t xml:space="preserve">round, </w:t>
      </w:r>
      <w:r w:rsidR="00A07771">
        <w:rPr>
          <w:rFonts w:ascii="Times New Roman" w:eastAsia="Times New Roman" w:hAnsi="Times New Roman" w:cs="Times New Roman"/>
          <w:sz w:val="24"/>
          <w:szCs w:val="24"/>
          <w:lang w:val="en-CA" w:eastAsia="nl-BE"/>
        </w:rPr>
        <w:t>a</w:t>
      </w:r>
      <w:r w:rsidR="00FE637D">
        <w:rPr>
          <w:rFonts w:ascii="Times New Roman" w:eastAsia="Times New Roman" w:hAnsi="Times New Roman" w:cs="Times New Roman"/>
          <w:sz w:val="24"/>
          <w:szCs w:val="24"/>
          <w:lang w:val="en-CA" w:eastAsia="nl-BE"/>
        </w:rPr>
        <w:t xml:space="preserve"> mayor can, in case of public order disturbance or nuisance, prohibit the </w:t>
      </w:r>
      <w:r w:rsidR="00FE637D" w:rsidRPr="00EC1301">
        <w:rPr>
          <w:rFonts w:ascii="Times New Roman" w:eastAsia="Times New Roman" w:hAnsi="Times New Roman" w:cs="Times New Roman"/>
          <w:sz w:val="24"/>
          <w:szCs w:val="24"/>
          <w:lang w:val="en-CA" w:eastAsia="nl-BE"/>
        </w:rPr>
        <w:t>offender to enter a certain</w:t>
      </w:r>
      <w:r w:rsidR="00FE637D">
        <w:rPr>
          <w:rFonts w:ascii="Times New Roman" w:eastAsia="Times New Roman" w:hAnsi="Times New Roman" w:cs="Times New Roman"/>
          <w:sz w:val="24"/>
          <w:szCs w:val="24"/>
          <w:lang w:val="en-CA" w:eastAsia="nl-BE"/>
        </w:rPr>
        <w:t xml:space="preserve"> public</w:t>
      </w:r>
      <w:r w:rsidR="00FE637D" w:rsidRPr="00EC1301">
        <w:rPr>
          <w:rFonts w:ascii="Times New Roman" w:eastAsia="Times New Roman" w:hAnsi="Times New Roman" w:cs="Times New Roman"/>
          <w:sz w:val="24"/>
          <w:szCs w:val="24"/>
          <w:lang w:val="en-CA" w:eastAsia="nl-BE"/>
        </w:rPr>
        <w:t xml:space="preserve"> place for </w:t>
      </w:r>
      <w:r w:rsidR="00FE637D" w:rsidRPr="00817E2C">
        <w:rPr>
          <w:rFonts w:ascii="Times New Roman" w:eastAsia="Times New Roman" w:hAnsi="Times New Roman" w:cs="Times New Roman"/>
          <w:sz w:val="24"/>
          <w:szCs w:val="24"/>
          <w:lang w:val="en-CA" w:eastAsia="nl-BE"/>
        </w:rPr>
        <w:t>up to one month</w:t>
      </w:r>
      <w:r w:rsidR="00FE637D">
        <w:rPr>
          <w:rStyle w:val="Odwoanieprzypisudolnego"/>
          <w:rFonts w:ascii="Times New Roman" w:hAnsi="Times New Roman" w:cs="Times New Roman"/>
          <w:sz w:val="24"/>
          <w:szCs w:val="24"/>
          <w:lang w:val="en-US"/>
        </w:rPr>
        <w:footnoteReference w:id="3"/>
      </w:r>
      <w:r w:rsidR="00FE637D">
        <w:rPr>
          <w:rFonts w:ascii="Times New Roman" w:eastAsia="Times New Roman" w:hAnsi="Times New Roman" w:cs="Times New Roman"/>
          <w:sz w:val="24"/>
          <w:szCs w:val="24"/>
          <w:lang w:val="en-CA" w:eastAsia="nl-BE"/>
        </w:rPr>
        <w:t>.</w:t>
      </w:r>
      <w:r w:rsidR="00FE637D" w:rsidRPr="0072673A">
        <w:rPr>
          <w:rFonts w:ascii="Times New Roman" w:hAnsi="Times New Roman" w:cs="Times New Roman"/>
          <w:sz w:val="24"/>
          <w:szCs w:val="24"/>
          <w:lang w:val="en-US"/>
        </w:rPr>
        <w:t xml:space="preserve"> </w:t>
      </w:r>
      <w:r w:rsidR="00FE637D">
        <w:rPr>
          <w:rFonts w:ascii="Times New Roman" w:hAnsi="Times New Roman" w:cs="Times New Roman"/>
          <w:sz w:val="24"/>
          <w:szCs w:val="24"/>
          <w:lang w:val="en-US"/>
        </w:rPr>
        <w:t xml:space="preserve">Similar </w:t>
      </w:r>
      <w:r w:rsidR="00FE637D" w:rsidRPr="00817E2C">
        <w:rPr>
          <w:rFonts w:ascii="Times New Roman" w:hAnsi="Times New Roman" w:cs="Times New Roman"/>
          <w:sz w:val="24"/>
          <w:szCs w:val="24"/>
          <w:lang w:val="en-US"/>
        </w:rPr>
        <w:t>police power</w:t>
      </w:r>
      <w:r w:rsidR="00FE637D">
        <w:rPr>
          <w:rFonts w:ascii="Times New Roman" w:hAnsi="Times New Roman" w:cs="Times New Roman"/>
          <w:sz w:val="24"/>
          <w:szCs w:val="24"/>
          <w:lang w:val="en-US"/>
        </w:rPr>
        <w:t>s</w:t>
      </w:r>
      <w:r w:rsidR="00FE637D" w:rsidRPr="00817E2C">
        <w:rPr>
          <w:rFonts w:ascii="Times New Roman" w:hAnsi="Times New Roman" w:cs="Times New Roman"/>
          <w:sz w:val="24"/>
          <w:szCs w:val="24"/>
          <w:lang w:val="en-US"/>
        </w:rPr>
        <w:t xml:space="preserve"> </w:t>
      </w:r>
      <w:r w:rsidR="00FE637D">
        <w:rPr>
          <w:rFonts w:ascii="Times New Roman" w:hAnsi="Times New Roman" w:cs="Times New Roman"/>
          <w:sz w:val="24"/>
          <w:szCs w:val="24"/>
          <w:lang w:val="en-US"/>
        </w:rPr>
        <w:t>were</w:t>
      </w:r>
      <w:r w:rsidR="00FE637D" w:rsidRPr="00817E2C">
        <w:rPr>
          <w:rFonts w:ascii="Times New Roman" w:hAnsi="Times New Roman" w:cs="Times New Roman"/>
          <w:sz w:val="24"/>
          <w:szCs w:val="24"/>
          <w:lang w:val="en-US"/>
        </w:rPr>
        <w:t xml:space="preserve"> introduced in the United Kingdom by </w:t>
      </w:r>
      <w:r w:rsidR="00FE637D" w:rsidRPr="004952A3">
        <w:rPr>
          <w:rFonts w:ascii="Times New Roman" w:hAnsi="Times New Roman" w:cs="Times New Roman"/>
          <w:sz w:val="24"/>
          <w:szCs w:val="24"/>
          <w:lang w:val="en-US"/>
        </w:rPr>
        <w:t>Part</w:t>
      </w:r>
      <w:r w:rsidR="00FE637D" w:rsidRPr="00817E2C">
        <w:rPr>
          <w:rFonts w:ascii="Times New Roman" w:hAnsi="Times New Roman" w:cs="Times New Roman"/>
          <w:sz w:val="24"/>
          <w:szCs w:val="24"/>
          <w:lang w:val="en-US"/>
        </w:rPr>
        <w:t xml:space="preserve"> 3 of the Anti-social</w:t>
      </w:r>
      <w:r w:rsidR="00FE637D">
        <w:rPr>
          <w:rFonts w:ascii="Times New Roman" w:hAnsi="Times New Roman" w:cs="Times New Roman"/>
          <w:sz w:val="24"/>
          <w:szCs w:val="24"/>
          <w:lang w:val="en-GB"/>
        </w:rPr>
        <w:t xml:space="preserve"> B</w:t>
      </w:r>
      <w:r w:rsidR="00FE637D" w:rsidRPr="00817E2C">
        <w:rPr>
          <w:rFonts w:ascii="Times New Roman" w:hAnsi="Times New Roman" w:cs="Times New Roman"/>
          <w:sz w:val="24"/>
          <w:szCs w:val="24"/>
          <w:lang w:val="en-GB"/>
        </w:rPr>
        <w:t>ehaviour</w:t>
      </w:r>
      <w:r w:rsidR="00FE637D" w:rsidRPr="00817E2C">
        <w:rPr>
          <w:rFonts w:ascii="Times New Roman" w:hAnsi="Times New Roman" w:cs="Times New Roman"/>
          <w:sz w:val="24"/>
          <w:szCs w:val="24"/>
          <w:lang w:val="en-US"/>
        </w:rPr>
        <w:t xml:space="preserve">, </w:t>
      </w:r>
      <w:r w:rsidR="00FE637D">
        <w:rPr>
          <w:rFonts w:ascii="Times New Roman" w:hAnsi="Times New Roman" w:cs="Times New Roman"/>
          <w:sz w:val="24"/>
          <w:szCs w:val="24"/>
          <w:lang w:val="en-US"/>
        </w:rPr>
        <w:t>C</w:t>
      </w:r>
      <w:r w:rsidR="00FE637D" w:rsidRPr="00817E2C">
        <w:rPr>
          <w:rFonts w:ascii="Times New Roman" w:hAnsi="Times New Roman" w:cs="Times New Roman"/>
          <w:sz w:val="24"/>
          <w:szCs w:val="24"/>
          <w:lang w:val="en-US"/>
        </w:rPr>
        <w:t>rime and Policing Act 2014 (</w:t>
      </w:r>
      <w:r w:rsidR="00FE637D">
        <w:rPr>
          <w:rFonts w:ascii="Times New Roman" w:hAnsi="Times New Roman" w:cs="Times New Roman"/>
          <w:sz w:val="24"/>
          <w:szCs w:val="24"/>
          <w:lang w:val="en-US"/>
        </w:rPr>
        <w:t>“</w:t>
      </w:r>
      <w:r w:rsidR="00FE637D" w:rsidRPr="00817E2C">
        <w:rPr>
          <w:rFonts w:ascii="Times New Roman" w:hAnsi="Times New Roman" w:cs="Times New Roman"/>
          <w:sz w:val="24"/>
          <w:szCs w:val="24"/>
          <w:lang w:val="en-US"/>
        </w:rPr>
        <w:t>ACPA</w:t>
      </w:r>
      <w:r w:rsidR="00FE637D">
        <w:rPr>
          <w:rFonts w:ascii="Times New Roman" w:hAnsi="Times New Roman" w:cs="Times New Roman"/>
          <w:sz w:val="24"/>
          <w:szCs w:val="24"/>
          <w:lang w:val="en-US"/>
        </w:rPr>
        <w:t>”). This part provides</w:t>
      </w:r>
      <w:r w:rsidR="00FE637D" w:rsidRPr="00817E2C">
        <w:rPr>
          <w:rFonts w:ascii="Times New Roman" w:hAnsi="Times New Roman" w:cs="Times New Roman"/>
          <w:sz w:val="24"/>
          <w:szCs w:val="24"/>
          <w:lang w:val="en-US"/>
        </w:rPr>
        <w:t xml:space="preserve"> </w:t>
      </w:r>
      <w:r w:rsidR="00FE637D" w:rsidRPr="00153890">
        <w:rPr>
          <w:rFonts w:ascii="Times New Roman" w:hAnsi="Times New Roman" w:cs="Times New Roman"/>
          <w:sz w:val="24"/>
          <w:szCs w:val="24"/>
          <w:lang w:val="en-CA"/>
        </w:rPr>
        <w:t>constable</w:t>
      </w:r>
      <w:r w:rsidR="00FE637D">
        <w:rPr>
          <w:rFonts w:ascii="Times New Roman" w:hAnsi="Times New Roman" w:cs="Times New Roman"/>
          <w:sz w:val="24"/>
          <w:szCs w:val="24"/>
          <w:lang w:val="en-CA"/>
        </w:rPr>
        <w:t>s</w:t>
      </w:r>
      <w:r w:rsidR="00FE637D" w:rsidRPr="00153890">
        <w:rPr>
          <w:rFonts w:ascii="Times New Roman" w:hAnsi="Times New Roman" w:cs="Times New Roman"/>
          <w:sz w:val="24"/>
          <w:szCs w:val="24"/>
          <w:lang w:val="en-CA"/>
        </w:rPr>
        <w:t xml:space="preserve"> in uniform</w:t>
      </w:r>
      <w:r w:rsidR="00FE637D" w:rsidRPr="00817E2C">
        <w:rPr>
          <w:rFonts w:ascii="Times New Roman" w:hAnsi="Times New Roman" w:cs="Times New Roman"/>
          <w:sz w:val="24"/>
          <w:szCs w:val="24"/>
          <w:lang w:val="en-US"/>
        </w:rPr>
        <w:t xml:space="preserve"> </w:t>
      </w:r>
      <w:r w:rsidR="00FE637D">
        <w:rPr>
          <w:rFonts w:ascii="Times New Roman" w:hAnsi="Times New Roman" w:cs="Times New Roman"/>
          <w:sz w:val="24"/>
          <w:szCs w:val="24"/>
          <w:lang w:val="en-US"/>
        </w:rPr>
        <w:t>with dispersal powers, enabling them to impose a ‘</w:t>
      </w:r>
      <w:r w:rsidR="00FE637D" w:rsidRPr="00153890">
        <w:rPr>
          <w:rFonts w:ascii="Times New Roman" w:hAnsi="Times New Roman" w:cs="Times New Roman"/>
          <w:sz w:val="24"/>
          <w:szCs w:val="24"/>
          <w:lang w:val="en-US"/>
        </w:rPr>
        <w:t>direction to leave</w:t>
      </w:r>
      <w:r w:rsidR="00FE637D">
        <w:rPr>
          <w:rFonts w:ascii="Times New Roman" w:hAnsi="Times New Roman" w:cs="Times New Roman"/>
          <w:sz w:val="24"/>
          <w:szCs w:val="24"/>
          <w:lang w:val="en-US"/>
        </w:rPr>
        <w:t xml:space="preserve">’ on a person who </w:t>
      </w:r>
      <w:r w:rsidR="00571696">
        <w:rPr>
          <w:rFonts w:ascii="Times New Roman" w:hAnsi="Times New Roman" w:cs="Times New Roman"/>
          <w:sz w:val="24"/>
          <w:szCs w:val="24"/>
          <w:lang w:val="en-US"/>
        </w:rPr>
        <w:t>engaged in</w:t>
      </w:r>
      <w:r w:rsidR="00FE637D" w:rsidRPr="00817E2C">
        <w:rPr>
          <w:rFonts w:ascii="Times New Roman" w:hAnsi="Times New Roman" w:cs="Times New Roman"/>
          <w:sz w:val="24"/>
          <w:szCs w:val="24"/>
          <w:lang w:val="en-US"/>
        </w:rPr>
        <w:t xml:space="preserve">, or is likely to </w:t>
      </w:r>
      <w:r w:rsidR="00571696">
        <w:rPr>
          <w:rFonts w:ascii="Times New Roman" w:hAnsi="Times New Roman" w:cs="Times New Roman"/>
          <w:sz w:val="24"/>
          <w:szCs w:val="24"/>
          <w:lang w:val="en-US"/>
        </w:rPr>
        <w:t xml:space="preserve">engage in, </w:t>
      </w:r>
      <w:r w:rsidR="00FE637D">
        <w:rPr>
          <w:rFonts w:ascii="Times New Roman" w:hAnsi="Times New Roman" w:cs="Times New Roman"/>
          <w:sz w:val="24"/>
          <w:szCs w:val="24"/>
          <w:lang w:val="en-US"/>
        </w:rPr>
        <w:lastRenderedPageBreak/>
        <w:t>problematic behaviour (i.e. anti-social behaviour, crime or disorder) in a certain public area</w:t>
      </w:r>
      <w:r w:rsidR="00FE637D">
        <w:rPr>
          <w:rStyle w:val="Odwoanieprzypisudolnego"/>
          <w:rFonts w:ascii="Times New Roman" w:hAnsi="Times New Roman" w:cs="Times New Roman"/>
          <w:sz w:val="24"/>
          <w:szCs w:val="24"/>
          <w:lang w:val="en-US"/>
        </w:rPr>
        <w:footnoteReference w:id="4"/>
      </w:r>
      <w:r w:rsidR="00025B58">
        <w:rPr>
          <w:rFonts w:ascii="Times New Roman" w:hAnsi="Times New Roman" w:cs="Times New Roman"/>
          <w:sz w:val="24"/>
          <w:szCs w:val="24"/>
          <w:lang w:val="en-US"/>
        </w:rPr>
        <w:t xml:space="preserve">. This direction to leave comprises </w:t>
      </w:r>
      <w:r w:rsidR="00FE637D">
        <w:rPr>
          <w:rFonts w:ascii="Times New Roman" w:hAnsi="Times New Roman" w:cs="Times New Roman"/>
          <w:sz w:val="24"/>
          <w:szCs w:val="24"/>
          <w:lang w:val="en-US"/>
        </w:rPr>
        <w:t>– besides the obligation to leave the area as such – the obligation not to return to that place, thus excluding the offender from that area</w:t>
      </w:r>
      <w:r w:rsidR="00FE637D">
        <w:rPr>
          <w:rStyle w:val="Odwoanieprzypisudolnego"/>
          <w:rFonts w:ascii="Times New Roman" w:hAnsi="Times New Roman" w:cs="Times New Roman"/>
          <w:sz w:val="24"/>
          <w:szCs w:val="24"/>
          <w:lang w:val="en-US"/>
        </w:rPr>
        <w:footnoteReference w:id="5"/>
      </w:r>
      <w:r w:rsidR="00FE637D">
        <w:rPr>
          <w:rFonts w:ascii="Times New Roman" w:hAnsi="Times New Roman" w:cs="Times New Roman"/>
          <w:sz w:val="24"/>
          <w:szCs w:val="24"/>
          <w:lang w:val="en-US"/>
        </w:rPr>
        <w:t xml:space="preserve">. However, the exclusion can only be applied for up to 48 hours, </w:t>
      </w:r>
      <w:r w:rsidR="00571696">
        <w:rPr>
          <w:rFonts w:ascii="Times New Roman" w:hAnsi="Times New Roman" w:cs="Times New Roman"/>
          <w:sz w:val="24"/>
          <w:szCs w:val="24"/>
          <w:lang w:val="en-US"/>
        </w:rPr>
        <w:t>in contrast</w:t>
      </w:r>
      <w:r w:rsidR="00FE637D">
        <w:rPr>
          <w:rFonts w:ascii="Times New Roman" w:hAnsi="Times New Roman" w:cs="Times New Roman"/>
          <w:sz w:val="24"/>
          <w:szCs w:val="24"/>
          <w:lang w:val="en-US"/>
        </w:rPr>
        <w:t xml:space="preserve"> to</w:t>
      </w:r>
      <w:r w:rsidR="00571696">
        <w:rPr>
          <w:rFonts w:ascii="Times New Roman" w:hAnsi="Times New Roman" w:cs="Times New Roman"/>
          <w:sz w:val="24"/>
          <w:szCs w:val="24"/>
          <w:lang w:val="en-US"/>
        </w:rPr>
        <w:t xml:space="preserve"> </w:t>
      </w:r>
      <w:r w:rsidR="00A07771">
        <w:rPr>
          <w:rFonts w:ascii="Times New Roman" w:hAnsi="Times New Roman" w:cs="Times New Roman"/>
          <w:sz w:val="24"/>
          <w:szCs w:val="24"/>
          <w:lang w:val="en-US"/>
        </w:rPr>
        <w:t xml:space="preserve">the </w:t>
      </w:r>
      <w:r w:rsidR="00571696">
        <w:rPr>
          <w:rFonts w:ascii="Times New Roman" w:hAnsi="Times New Roman" w:cs="Times New Roman"/>
          <w:sz w:val="24"/>
          <w:szCs w:val="24"/>
          <w:lang w:val="en-US"/>
        </w:rPr>
        <w:t xml:space="preserve">Belgian prohibition of place’s duration of one month. </w:t>
      </w:r>
      <w:r w:rsidR="00245C62" w:rsidRPr="00940FAD">
        <w:rPr>
          <w:rFonts w:ascii="Times New Roman" w:hAnsi="Times New Roman" w:cs="Times New Roman"/>
          <w:sz w:val="24"/>
          <w:szCs w:val="24"/>
          <w:lang w:val="en-US"/>
        </w:rPr>
        <w:t xml:space="preserve">It is important to </w:t>
      </w:r>
      <w:r w:rsidR="00245C62" w:rsidRPr="00DE1CF6">
        <w:rPr>
          <w:rFonts w:ascii="Times New Roman" w:hAnsi="Times New Roman" w:cs="Times New Roman"/>
          <w:sz w:val="24"/>
          <w:szCs w:val="24"/>
          <w:lang w:val="en-US"/>
        </w:rPr>
        <w:t xml:space="preserve">note that the direction to leave </w:t>
      </w:r>
      <w:r w:rsidR="00245C62">
        <w:rPr>
          <w:rFonts w:ascii="Times New Roman" w:hAnsi="Times New Roman" w:cs="Times New Roman"/>
          <w:sz w:val="24"/>
          <w:szCs w:val="24"/>
          <w:lang w:val="en-US"/>
        </w:rPr>
        <w:t>obligates</w:t>
      </w:r>
      <w:r w:rsidR="00245C62" w:rsidRPr="00DE1CF6">
        <w:rPr>
          <w:rFonts w:ascii="Times New Roman" w:hAnsi="Times New Roman" w:cs="Times New Roman"/>
          <w:sz w:val="24"/>
          <w:szCs w:val="24"/>
          <w:lang w:val="en-US"/>
        </w:rPr>
        <w:t xml:space="preserve"> the offender </w:t>
      </w:r>
      <w:r w:rsidR="00245C62" w:rsidRPr="00730BDA">
        <w:rPr>
          <w:rFonts w:ascii="Times New Roman" w:hAnsi="Times New Roman" w:cs="Times New Roman"/>
          <w:i/>
          <w:sz w:val="24"/>
          <w:szCs w:val="24"/>
          <w:lang w:val="en-US"/>
        </w:rPr>
        <w:t>to leave</w:t>
      </w:r>
      <w:r w:rsidR="00245C62" w:rsidRPr="00DE1CF6">
        <w:rPr>
          <w:rFonts w:ascii="Times New Roman" w:hAnsi="Times New Roman" w:cs="Times New Roman"/>
          <w:sz w:val="24"/>
          <w:szCs w:val="24"/>
          <w:lang w:val="en-US"/>
        </w:rPr>
        <w:t xml:space="preserve"> the locality and </w:t>
      </w:r>
      <w:r w:rsidR="00245C62" w:rsidRPr="00730BDA">
        <w:rPr>
          <w:rFonts w:ascii="Times New Roman" w:hAnsi="Times New Roman" w:cs="Times New Roman"/>
          <w:i/>
          <w:sz w:val="24"/>
          <w:szCs w:val="24"/>
          <w:lang w:val="en-US"/>
        </w:rPr>
        <w:t>not to return</w:t>
      </w:r>
      <w:r w:rsidR="00245C62" w:rsidRPr="00DE1CF6">
        <w:rPr>
          <w:rFonts w:ascii="Times New Roman" w:hAnsi="Times New Roman" w:cs="Times New Roman"/>
          <w:sz w:val="24"/>
          <w:szCs w:val="24"/>
          <w:lang w:val="en-US"/>
        </w:rPr>
        <w:t xml:space="preserve"> to</w:t>
      </w:r>
      <w:r w:rsidR="00245C62">
        <w:rPr>
          <w:rFonts w:ascii="Times New Roman" w:hAnsi="Times New Roman" w:cs="Times New Roman"/>
          <w:sz w:val="24"/>
          <w:szCs w:val="24"/>
          <w:lang w:val="en-US"/>
        </w:rPr>
        <w:t xml:space="preserve"> it</w:t>
      </w:r>
      <w:r w:rsidR="00245C62" w:rsidRPr="00940FAD">
        <w:rPr>
          <w:rFonts w:ascii="Times New Roman" w:hAnsi="Times New Roman" w:cs="Times New Roman"/>
          <w:sz w:val="24"/>
          <w:szCs w:val="24"/>
          <w:lang w:val="en-US"/>
        </w:rPr>
        <w:t>, in contrast to the Belgian prohibition of place</w:t>
      </w:r>
      <w:r w:rsidR="00245C62">
        <w:rPr>
          <w:rFonts w:ascii="Times New Roman" w:hAnsi="Times New Roman" w:cs="Times New Roman"/>
          <w:sz w:val="24"/>
          <w:szCs w:val="24"/>
          <w:lang w:val="en-US"/>
        </w:rPr>
        <w:t>, which</w:t>
      </w:r>
      <w:r w:rsidR="00245C62" w:rsidRPr="00940FAD">
        <w:rPr>
          <w:rFonts w:ascii="Times New Roman" w:hAnsi="Times New Roman" w:cs="Times New Roman"/>
          <w:sz w:val="24"/>
          <w:szCs w:val="24"/>
          <w:lang w:val="en-US"/>
        </w:rPr>
        <w:t xml:space="preserve"> only refers to the </w:t>
      </w:r>
      <w:r w:rsidR="00245C62" w:rsidRPr="00CE57AE">
        <w:rPr>
          <w:rFonts w:ascii="Times New Roman" w:hAnsi="Times New Roman" w:cs="Times New Roman"/>
          <w:sz w:val="24"/>
          <w:szCs w:val="24"/>
          <w:lang w:val="en-US"/>
        </w:rPr>
        <w:t xml:space="preserve">prohibition </w:t>
      </w:r>
      <w:r w:rsidR="00245C62" w:rsidRPr="00CE57AE">
        <w:rPr>
          <w:rFonts w:ascii="Times New Roman" w:hAnsi="Times New Roman" w:cs="Times New Roman"/>
          <w:i/>
          <w:sz w:val="24"/>
          <w:szCs w:val="24"/>
          <w:lang w:val="en-US"/>
        </w:rPr>
        <w:t>to enter</w:t>
      </w:r>
      <w:r w:rsidR="00245C62" w:rsidRPr="00CE57AE">
        <w:rPr>
          <w:rFonts w:ascii="Times New Roman" w:hAnsi="Times New Roman" w:cs="Times New Roman"/>
          <w:sz w:val="24"/>
          <w:szCs w:val="24"/>
          <w:lang w:val="en-US"/>
        </w:rPr>
        <w:t xml:space="preserve"> the locality. Despite this difference, both measures have the same goal,</w:t>
      </w:r>
      <w:r w:rsidR="00245C62">
        <w:rPr>
          <w:rFonts w:ascii="Times New Roman" w:hAnsi="Times New Roman" w:cs="Times New Roman"/>
          <w:sz w:val="24"/>
          <w:szCs w:val="24"/>
          <w:lang w:val="en-US"/>
        </w:rPr>
        <w:t xml:space="preserve"> namely maintaining public order </w:t>
      </w:r>
      <w:r w:rsidR="00245C62" w:rsidRPr="00F52526">
        <w:rPr>
          <w:rFonts w:ascii="Times New Roman" w:hAnsi="Times New Roman" w:cs="Times New Roman"/>
          <w:sz w:val="24"/>
          <w:szCs w:val="24"/>
          <w:lang w:val="en-US"/>
        </w:rPr>
        <w:t xml:space="preserve">by </w:t>
      </w:r>
      <w:r w:rsidR="00245C62">
        <w:rPr>
          <w:rFonts w:ascii="Times New Roman" w:hAnsi="Times New Roman" w:cs="Times New Roman"/>
          <w:sz w:val="24"/>
          <w:szCs w:val="24"/>
          <w:lang w:val="en-US"/>
        </w:rPr>
        <w:t xml:space="preserve">imposing </w:t>
      </w:r>
      <w:r w:rsidR="00245C62" w:rsidRPr="00F52526">
        <w:rPr>
          <w:rFonts w:ascii="Times New Roman" w:hAnsi="Times New Roman" w:cs="Times New Roman"/>
          <w:i/>
          <w:sz w:val="24"/>
          <w:szCs w:val="24"/>
          <w:lang w:val="en-US"/>
        </w:rPr>
        <w:t>area-based restrictions</w:t>
      </w:r>
      <w:r w:rsidR="00245C62">
        <w:rPr>
          <w:rFonts w:ascii="Times New Roman" w:hAnsi="Times New Roman" w:cs="Times New Roman"/>
          <w:sz w:val="24"/>
          <w:szCs w:val="24"/>
          <w:lang w:val="en-US"/>
        </w:rPr>
        <w:t xml:space="preserve">, </w:t>
      </w:r>
      <w:r w:rsidR="00571696">
        <w:rPr>
          <w:rFonts w:ascii="Times New Roman" w:hAnsi="Times New Roman" w:cs="Times New Roman"/>
          <w:sz w:val="24"/>
          <w:szCs w:val="24"/>
          <w:lang w:val="en-US"/>
        </w:rPr>
        <w:t xml:space="preserve">in other words </w:t>
      </w:r>
      <w:r w:rsidR="00245C62">
        <w:rPr>
          <w:rFonts w:ascii="Times New Roman" w:hAnsi="Times New Roman" w:cs="Times New Roman"/>
          <w:sz w:val="24"/>
          <w:szCs w:val="24"/>
          <w:lang w:val="en-US"/>
        </w:rPr>
        <w:t xml:space="preserve">by </w:t>
      </w:r>
      <w:r w:rsidR="00245C62" w:rsidRPr="00F52526">
        <w:rPr>
          <w:rFonts w:ascii="Times New Roman" w:hAnsi="Times New Roman" w:cs="Times New Roman"/>
          <w:sz w:val="24"/>
          <w:szCs w:val="24"/>
          <w:lang w:val="en-US"/>
        </w:rPr>
        <w:t xml:space="preserve">prohibiting </w:t>
      </w:r>
      <w:r w:rsidR="00245C62">
        <w:rPr>
          <w:rFonts w:ascii="Times New Roman" w:hAnsi="Times New Roman" w:cs="Times New Roman"/>
          <w:sz w:val="24"/>
          <w:szCs w:val="24"/>
          <w:lang w:val="en-US"/>
        </w:rPr>
        <w:t>an</w:t>
      </w:r>
      <w:r w:rsidR="00245C62" w:rsidRPr="00F52526">
        <w:rPr>
          <w:rFonts w:ascii="Times New Roman" w:hAnsi="Times New Roman" w:cs="Times New Roman"/>
          <w:sz w:val="24"/>
          <w:szCs w:val="24"/>
          <w:lang w:val="en-US"/>
        </w:rPr>
        <w:t xml:space="preserve"> individual to be in a ce</w:t>
      </w:r>
      <w:r w:rsidR="00245C62">
        <w:rPr>
          <w:rFonts w:ascii="Times New Roman" w:hAnsi="Times New Roman" w:cs="Times New Roman"/>
          <w:sz w:val="24"/>
          <w:szCs w:val="24"/>
          <w:lang w:val="en-US"/>
        </w:rPr>
        <w:t>rtain public place for a certain period</w:t>
      </w:r>
      <w:r w:rsidR="00245C62" w:rsidRPr="00F52526">
        <w:rPr>
          <w:rFonts w:ascii="Times New Roman" w:hAnsi="Times New Roman" w:cs="Times New Roman"/>
          <w:sz w:val="24"/>
          <w:szCs w:val="24"/>
          <w:lang w:val="en-US"/>
        </w:rPr>
        <w:t>.</w:t>
      </w:r>
    </w:p>
    <w:p w14:paraId="4B8761E8" w14:textId="6D0A648F" w:rsidR="00444F56" w:rsidRPr="004251BF" w:rsidRDefault="00CE57AE" w:rsidP="004251BF">
      <w:pPr>
        <w:jc w:val="both"/>
        <w:rPr>
          <w:rFonts w:ascii="Times New Roman" w:hAnsi="Times New Roman" w:cs="Times New Roman"/>
          <w:sz w:val="24"/>
          <w:szCs w:val="24"/>
          <w:highlight w:val="yellow"/>
          <w:lang w:val="en-CA"/>
        </w:rPr>
      </w:pPr>
      <w:r w:rsidRPr="00CE57AE">
        <w:rPr>
          <w:rFonts w:ascii="Times New Roman" w:hAnsi="Times New Roman" w:cs="Times New Roman"/>
          <w:sz w:val="24"/>
          <w:szCs w:val="24"/>
          <w:lang w:val="en-CA"/>
        </w:rPr>
        <w:t xml:space="preserve">The above-mentioned </w:t>
      </w:r>
      <w:r w:rsidR="002D1F31">
        <w:rPr>
          <w:rFonts w:ascii="Times New Roman" w:hAnsi="Times New Roman" w:cs="Times New Roman"/>
          <w:sz w:val="24"/>
          <w:szCs w:val="24"/>
          <w:lang w:val="en-CA"/>
        </w:rPr>
        <w:t>techniques</w:t>
      </w:r>
      <w:r w:rsidRPr="00CE57AE">
        <w:rPr>
          <w:rFonts w:ascii="Times New Roman" w:hAnsi="Times New Roman" w:cs="Times New Roman"/>
          <w:sz w:val="24"/>
          <w:szCs w:val="24"/>
          <w:lang w:val="en-CA"/>
        </w:rPr>
        <w:t xml:space="preserve"> are not the only </w:t>
      </w:r>
      <w:r w:rsidR="002D1F31">
        <w:rPr>
          <w:rFonts w:ascii="Times New Roman" w:hAnsi="Times New Roman" w:cs="Times New Roman"/>
          <w:sz w:val="24"/>
          <w:szCs w:val="24"/>
          <w:lang w:val="en-US"/>
        </w:rPr>
        <w:t xml:space="preserve">area-based restrictions </w:t>
      </w:r>
      <w:r w:rsidRPr="00CE57AE">
        <w:rPr>
          <w:rFonts w:ascii="Times New Roman" w:hAnsi="Times New Roman" w:cs="Times New Roman"/>
          <w:sz w:val="24"/>
          <w:szCs w:val="24"/>
          <w:lang w:val="en-CA"/>
        </w:rPr>
        <w:t xml:space="preserve">that can be imposed </w:t>
      </w:r>
      <w:r w:rsidR="00730BDA">
        <w:rPr>
          <w:rFonts w:ascii="Times New Roman" w:hAnsi="Times New Roman" w:cs="Times New Roman"/>
          <w:sz w:val="24"/>
          <w:szCs w:val="24"/>
          <w:lang w:val="en-CA"/>
        </w:rPr>
        <w:t xml:space="preserve">in order </w:t>
      </w:r>
      <w:r w:rsidRPr="00CE57AE">
        <w:rPr>
          <w:rFonts w:ascii="Times New Roman" w:hAnsi="Times New Roman" w:cs="Times New Roman"/>
          <w:sz w:val="24"/>
          <w:szCs w:val="24"/>
          <w:lang w:val="en-CA"/>
        </w:rPr>
        <w:t>to maintain public order</w:t>
      </w:r>
      <w:r w:rsidR="00245C62" w:rsidRPr="00CE57AE">
        <w:rPr>
          <w:rFonts w:ascii="Times New Roman" w:hAnsi="Times New Roman" w:cs="Times New Roman"/>
          <w:sz w:val="24"/>
          <w:szCs w:val="24"/>
          <w:lang w:val="en-CA"/>
        </w:rPr>
        <w:t xml:space="preserve">. </w:t>
      </w:r>
      <w:r w:rsidR="00245C62" w:rsidRPr="00245C62">
        <w:rPr>
          <w:rFonts w:ascii="Times New Roman" w:hAnsi="Times New Roman" w:cs="Times New Roman"/>
          <w:sz w:val="24"/>
          <w:szCs w:val="24"/>
          <w:lang w:val="en-CA"/>
        </w:rPr>
        <w:t>For instance, in Belgium and in the United Kingdom, public ser</w:t>
      </w:r>
      <w:r w:rsidR="00245C62" w:rsidRPr="004B304C">
        <w:rPr>
          <w:rFonts w:ascii="Times New Roman" w:hAnsi="Times New Roman" w:cs="Times New Roman"/>
          <w:sz w:val="24"/>
          <w:szCs w:val="24"/>
          <w:lang w:val="en-CA"/>
        </w:rPr>
        <w:t xml:space="preserve">vants </w:t>
      </w:r>
      <w:r w:rsidR="00245C62">
        <w:rPr>
          <w:rFonts w:ascii="Times New Roman" w:hAnsi="Times New Roman" w:cs="Times New Roman"/>
          <w:sz w:val="24"/>
          <w:szCs w:val="24"/>
          <w:lang w:val="en-CA"/>
        </w:rPr>
        <w:t>or</w:t>
      </w:r>
      <w:r w:rsidR="00245C62" w:rsidRPr="004B304C">
        <w:rPr>
          <w:rFonts w:ascii="Times New Roman" w:hAnsi="Times New Roman" w:cs="Times New Roman"/>
          <w:sz w:val="24"/>
          <w:szCs w:val="24"/>
          <w:lang w:val="en-CA"/>
        </w:rPr>
        <w:t xml:space="preserve"> </w:t>
      </w:r>
      <w:r w:rsidR="00245C62">
        <w:rPr>
          <w:rFonts w:ascii="Times New Roman" w:hAnsi="Times New Roman" w:cs="Times New Roman"/>
          <w:sz w:val="24"/>
          <w:szCs w:val="24"/>
          <w:lang w:val="en-CA"/>
        </w:rPr>
        <w:t xml:space="preserve">the </w:t>
      </w:r>
      <w:r w:rsidR="00730BDA">
        <w:rPr>
          <w:rFonts w:ascii="Times New Roman" w:hAnsi="Times New Roman" w:cs="Times New Roman"/>
          <w:sz w:val="24"/>
          <w:szCs w:val="24"/>
          <w:lang w:val="en-CA"/>
        </w:rPr>
        <w:t>judge</w:t>
      </w:r>
      <w:r w:rsidR="00245C62">
        <w:rPr>
          <w:rFonts w:ascii="Times New Roman" w:hAnsi="Times New Roman" w:cs="Times New Roman"/>
          <w:sz w:val="24"/>
          <w:szCs w:val="24"/>
          <w:lang w:val="en-CA"/>
        </w:rPr>
        <w:t>,</w:t>
      </w:r>
      <w:r w:rsidR="00245C62" w:rsidRPr="004B304C">
        <w:rPr>
          <w:rFonts w:ascii="Times New Roman" w:hAnsi="Times New Roman" w:cs="Times New Roman"/>
          <w:sz w:val="24"/>
          <w:szCs w:val="24"/>
          <w:lang w:val="en-CA"/>
        </w:rPr>
        <w:t xml:space="preserve"> respectively, can impose on the individual a temporary prohibition to enter a football stadium in order to </w:t>
      </w:r>
      <w:r w:rsidR="00245C62" w:rsidRPr="004462B9">
        <w:rPr>
          <w:rFonts w:ascii="Times New Roman" w:hAnsi="Times New Roman" w:cs="Times New Roman"/>
          <w:sz w:val="24"/>
          <w:szCs w:val="24"/>
          <w:lang w:val="en-CA"/>
        </w:rPr>
        <w:t xml:space="preserve">tackle </w:t>
      </w:r>
      <w:r w:rsidR="00245C62" w:rsidRPr="00444F56">
        <w:rPr>
          <w:rFonts w:ascii="Times New Roman" w:hAnsi="Times New Roman" w:cs="Times New Roman"/>
          <w:sz w:val="24"/>
          <w:szCs w:val="24"/>
          <w:lang w:val="en-CA"/>
        </w:rPr>
        <w:t>football</w:t>
      </w:r>
      <w:r w:rsidR="00B56412">
        <w:rPr>
          <w:rFonts w:ascii="Times New Roman" w:hAnsi="Times New Roman" w:cs="Times New Roman"/>
          <w:sz w:val="24"/>
          <w:szCs w:val="24"/>
          <w:lang w:val="en-CA"/>
        </w:rPr>
        <w:t xml:space="preserve">-related </w:t>
      </w:r>
      <w:r w:rsidR="00444F56" w:rsidRPr="000E6894">
        <w:rPr>
          <w:rFonts w:ascii="Times New Roman" w:hAnsi="Times New Roman" w:cs="Times New Roman"/>
          <w:sz w:val="24"/>
          <w:szCs w:val="24"/>
          <w:lang w:val="en-CA"/>
        </w:rPr>
        <w:t xml:space="preserve">violence and </w:t>
      </w:r>
      <w:r w:rsidR="00B56412" w:rsidRPr="000E6894">
        <w:rPr>
          <w:rFonts w:ascii="Times New Roman" w:hAnsi="Times New Roman" w:cs="Times New Roman"/>
          <w:sz w:val="24"/>
          <w:szCs w:val="24"/>
          <w:lang w:val="en-CA"/>
        </w:rPr>
        <w:t>disorder</w:t>
      </w:r>
      <w:r w:rsidR="00245C62" w:rsidRPr="000E6894">
        <w:rPr>
          <w:rStyle w:val="Odwoanieprzypisudolnego"/>
          <w:rFonts w:ascii="Times New Roman" w:hAnsi="Times New Roman" w:cs="Times New Roman"/>
          <w:sz w:val="24"/>
          <w:szCs w:val="24"/>
        </w:rPr>
        <w:footnoteReference w:id="6"/>
      </w:r>
      <w:r w:rsidR="00245C62" w:rsidRPr="000E6894">
        <w:rPr>
          <w:rFonts w:ascii="Times New Roman" w:hAnsi="Times New Roman" w:cs="Times New Roman"/>
          <w:sz w:val="24"/>
          <w:szCs w:val="24"/>
          <w:lang w:val="en-CA"/>
        </w:rPr>
        <w:t xml:space="preserve">. In both legal systems, the freedom of movement can also be limited </w:t>
      </w:r>
      <w:r w:rsidR="002D1F31" w:rsidRPr="000E6894">
        <w:rPr>
          <w:rFonts w:ascii="Times New Roman" w:hAnsi="Times New Roman" w:cs="Times New Roman"/>
          <w:sz w:val="24"/>
          <w:szCs w:val="24"/>
          <w:lang w:val="en-CA"/>
        </w:rPr>
        <w:t xml:space="preserve">with the aim of maintaining public order </w:t>
      </w:r>
      <w:r w:rsidR="00245C62" w:rsidRPr="000E6894">
        <w:rPr>
          <w:rFonts w:ascii="Times New Roman" w:hAnsi="Times New Roman" w:cs="Times New Roman"/>
          <w:sz w:val="24"/>
          <w:szCs w:val="24"/>
          <w:lang w:val="en-CA"/>
        </w:rPr>
        <w:t xml:space="preserve">by a public transport ban imposed by civil servants </w:t>
      </w:r>
      <w:r w:rsidR="002D1F31" w:rsidRPr="000E6894">
        <w:rPr>
          <w:rFonts w:ascii="Times New Roman" w:hAnsi="Times New Roman" w:cs="Times New Roman"/>
          <w:sz w:val="24"/>
          <w:szCs w:val="24"/>
          <w:lang w:val="en-CA"/>
        </w:rPr>
        <w:t>or</w:t>
      </w:r>
      <w:r w:rsidR="00245C62" w:rsidRPr="000E6894">
        <w:rPr>
          <w:rFonts w:ascii="Times New Roman" w:hAnsi="Times New Roman" w:cs="Times New Roman"/>
          <w:sz w:val="24"/>
          <w:szCs w:val="24"/>
          <w:lang w:val="en-CA"/>
        </w:rPr>
        <w:t xml:space="preserve"> </w:t>
      </w:r>
      <w:r w:rsidR="002D1F31" w:rsidRPr="000E6894">
        <w:rPr>
          <w:rFonts w:ascii="Times New Roman" w:hAnsi="Times New Roman" w:cs="Times New Roman"/>
          <w:sz w:val="24"/>
          <w:szCs w:val="24"/>
          <w:lang w:val="en-CA"/>
        </w:rPr>
        <w:t xml:space="preserve">by the </w:t>
      </w:r>
      <w:r w:rsidR="00730BDA">
        <w:rPr>
          <w:rFonts w:ascii="Times New Roman" w:hAnsi="Times New Roman" w:cs="Times New Roman"/>
          <w:sz w:val="24"/>
          <w:szCs w:val="24"/>
          <w:lang w:val="en-CA"/>
        </w:rPr>
        <w:t>judge</w:t>
      </w:r>
      <w:r w:rsidR="002D1F31" w:rsidRPr="000E6894">
        <w:rPr>
          <w:rFonts w:ascii="Times New Roman" w:hAnsi="Times New Roman" w:cs="Times New Roman"/>
          <w:sz w:val="24"/>
          <w:szCs w:val="24"/>
          <w:lang w:val="en-CA"/>
        </w:rPr>
        <w:t xml:space="preserve"> </w:t>
      </w:r>
      <w:r w:rsidR="00245C62" w:rsidRPr="000E6894">
        <w:rPr>
          <w:rFonts w:ascii="Times New Roman" w:hAnsi="Times New Roman" w:cs="Times New Roman"/>
          <w:sz w:val="24"/>
          <w:szCs w:val="24"/>
          <w:lang w:val="en-CA"/>
        </w:rPr>
        <w:t>comprising the proh</w:t>
      </w:r>
      <w:r w:rsidR="001F5CF2">
        <w:rPr>
          <w:rFonts w:ascii="Times New Roman" w:hAnsi="Times New Roman" w:cs="Times New Roman"/>
          <w:sz w:val="24"/>
          <w:szCs w:val="24"/>
          <w:lang w:val="en-CA"/>
        </w:rPr>
        <w:t>ibition to use public transport</w:t>
      </w:r>
      <w:r w:rsidR="00245C62" w:rsidRPr="000E6894">
        <w:rPr>
          <w:rStyle w:val="Odwoanieprzypisudolnego"/>
          <w:rFonts w:ascii="Times New Roman" w:hAnsi="Times New Roman" w:cs="Times New Roman"/>
          <w:sz w:val="24"/>
          <w:szCs w:val="24"/>
          <w:lang w:val="en-CA"/>
        </w:rPr>
        <w:footnoteReference w:id="7"/>
      </w:r>
      <w:r w:rsidR="00245C62" w:rsidRPr="000E6894">
        <w:rPr>
          <w:rFonts w:ascii="Times New Roman" w:hAnsi="Times New Roman" w:cs="Times New Roman"/>
          <w:sz w:val="24"/>
          <w:szCs w:val="24"/>
          <w:lang w:val="en-CA"/>
        </w:rPr>
        <w:t>.</w:t>
      </w:r>
      <w:r w:rsidR="004251BF">
        <w:rPr>
          <w:rStyle w:val="Odwoanieprzypisudolnego"/>
          <w:rFonts w:ascii="Times New Roman" w:hAnsi="Times New Roman" w:cs="Times New Roman"/>
          <w:sz w:val="24"/>
          <w:szCs w:val="24"/>
          <w:lang w:val="en-CA"/>
        </w:rPr>
        <w:footnoteReference w:id="8"/>
      </w:r>
    </w:p>
    <w:p w14:paraId="6D109F37" w14:textId="21048E5A" w:rsidR="002128F2" w:rsidRPr="002D1F31" w:rsidRDefault="001F5CF2" w:rsidP="002128F2">
      <w:p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64380F" w:rsidRPr="003C7803">
        <w:rPr>
          <w:rFonts w:ascii="Times New Roman" w:hAnsi="Times New Roman" w:cs="Times New Roman"/>
          <w:sz w:val="24"/>
          <w:szCs w:val="24"/>
          <w:lang w:val="en-US"/>
        </w:rPr>
        <w:t>he above</w:t>
      </w:r>
      <w:r w:rsidR="00D56F93" w:rsidRPr="003C7803">
        <w:rPr>
          <w:rFonts w:ascii="Times New Roman" w:hAnsi="Times New Roman" w:cs="Times New Roman"/>
          <w:sz w:val="24"/>
          <w:szCs w:val="24"/>
          <w:lang w:val="en-US"/>
        </w:rPr>
        <w:t xml:space="preserve"> trend</w:t>
      </w:r>
      <w:r w:rsidR="00730BDA">
        <w:rPr>
          <w:rFonts w:ascii="Times New Roman" w:hAnsi="Times New Roman" w:cs="Times New Roman"/>
          <w:sz w:val="24"/>
          <w:szCs w:val="24"/>
          <w:lang w:val="en-US"/>
        </w:rPr>
        <w:t xml:space="preserve"> of increased public order powers that restrict the individual in his or her free movement</w:t>
      </w:r>
      <w:r w:rsidR="00392A19">
        <w:rPr>
          <w:rFonts w:ascii="Times New Roman" w:hAnsi="Times New Roman" w:cs="Times New Roman"/>
          <w:sz w:val="24"/>
          <w:szCs w:val="24"/>
          <w:lang w:val="en-US"/>
        </w:rPr>
        <w:t xml:space="preserve"> is unlikely to end soon</w:t>
      </w:r>
      <w:r w:rsidR="00730BDA">
        <w:rPr>
          <w:rFonts w:ascii="Times New Roman" w:hAnsi="Times New Roman" w:cs="Times New Roman"/>
          <w:sz w:val="24"/>
          <w:szCs w:val="24"/>
          <w:lang w:val="en-US"/>
        </w:rPr>
        <w:t>. After all, at present, there is an increase</w:t>
      </w:r>
      <w:r w:rsidR="00D56F93">
        <w:rPr>
          <w:rFonts w:ascii="Times New Roman" w:hAnsi="Times New Roman" w:cs="Times New Roman"/>
          <w:sz w:val="24"/>
          <w:szCs w:val="24"/>
          <w:lang w:val="en-US"/>
        </w:rPr>
        <w:t xml:space="preserve"> </w:t>
      </w:r>
      <w:r w:rsidR="00D56F93" w:rsidRPr="008E4582">
        <w:rPr>
          <w:rFonts w:ascii="Times New Roman" w:hAnsi="Times New Roman" w:cs="Times New Roman"/>
          <w:sz w:val="24"/>
          <w:szCs w:val="24"/>
          <w:lang w:val="en-US"/>
        </w:rPr>
        <w:t>in dangerous situations and situations of threat, such as terror threat</w:t>
      </w:r>
      <w:r w:rsidR="00356503">
        <w:rPr>
          <w:rFonts w:ascii="Times New Roman" w:hAnsi="Times New Roman" w:cs="Times New Roman"/>
          <w:sz w:val="24"/>
          <w:szCs w:val="24"/>
          <w:lang w:val="en-US"/>
        </w:rPr>
        <w:t>, which might lead to an inc</w:t>
      </w:r>
      <w:r w:rsidR="00527E57" w:rsidRPr="008E4582">
        <w:rPr>
          <w:rFonts w:ascii="Times New Roman" w:hAnsi="Times New Roman" w:cs="Times New Roman"/>
          <w:sz w:val="24"/>
          <w:szCs w:val="24"/>
          <w:lang w:val="en-US"/>
        </w:rPr>
        <w:t xml:space="preserve">rease </w:t>
      </w:r>
      <w:r w:rsidR="00356503">
        <w:rPr>
          <w:rFonts w:ascii="Times New Roman" w:hAnsi="Times New Roman" w:cs="Times New Roman"/>
          <w:sz w:val="24"/>
          <w:szCs w:val="24"/>
          <w:lang w:val="en-US"/>
        </w:rPr>
        <w:t>in</w:t>
      </w:r>
      <w:r w:rsidR="0064380F" w:rsidRPr="008E4582">
        <w:rPr>
          <w:rFonts w:ascii="Times New Roman" w:hAnsi="Times New Roman" w:cs="Times New Roman"/>
          <w:sz w:val="24"/>
          <w:szCs w:val="24"/>
          <w:lang w:val="en-US"/>
        </w:rPr>
        <w:t xml:space="preserve"> public order </w:t>
      </w:r>
      <w:r w:rsidR="00356503">
        <w:rPr>
          <w:rFonts w:ascii="Times New Roman" w:hAnsi="Times New Roman" w:cs="Times New Roman"/>
          <w:sz w:val="24"/>
          <w:szCs w:val="24"/>
          <w:lang w:val="en-US"/>
        </w:rPr>
        <w:t>powers</w:t>
      </w:r>
      <w:r w:rsidR="00D56F93" w:rsidRPr="008E4582">
        <w:rPr>
          <w:rFonts w:ascii="Times New Roman" w:hAnsi="Times New Roman" w:cs="Times New Roman"/>
          <w:sz w:val="24"/>
          <w:szCs w:val="24"/>
          <w:lang w:val="en-US"/>
        </w:rPr>
        <w:t>.</w:t>
      </w:r>
      <w:r w:rsidR="00C6581B" w:rsidRPr="008E4582">
        <w:rPr>
          <w:rFonts w:ascii="Times New Roman" w:hAnsi="Times New Roman" w:cs="Times New Roman"/>
          <w:sz w:val="24"/>
          <w:szCs w:val="24"/>
          <w:lang w:val="en-US"/>
        </w:rPr>
        <w:t xml:space="preserve"> </w:t>
      </w:r>
      <w:r w:rsidR="0064380F" w:rsidRPr="008E4582">
        <w:rPr>
          <w:rFonts w:ascii="Times New Roman" w:hAnsi="Times New Roman" w:cs="Times New Roman"/>
          <w:sz w:val="24"/>
          <w:szCs w:val="24"/>
          <w:lang w:val="en-US"/>
        </w:rPr>
        <w:t xml:space="preserve">Moreover, the powers of </w:t>
      </w:r>
      <w:r w:rsidR="00356503">
        <w:rPr>
          <w:rFonts w:ascii="Times New Roman" w:hAnsi="Times New Roman" w:cs="Times New Roman"/>
          <w:sz w:val="24"/>
          <w:szCs w:val="24"/>
          <w:lang w:val="en-US"/>
        </w:rPr>
        <w:t xml:space="preserve">judges and </w:t>
      </w:r>
      <w:r w:rsidR="0064380F" w:rsidRPr="008E4582">
        <w:rPr>
          <w:rFonts w:ascii="Times New Roman" w:hAnsi="Times New Roman" w:cs="Times New Roman"/>
          <w:sz w:val="24"/>
          <w:szCs w:val="24"/>
          <w:lang w:val="en-US"/>
        </w:rPr>
        <w:t xml:space="preserve">the executive </w:t>
      </w:r>
      <w:r w:rsidR="00356503">
        <w:rPr>
          <w:rFonts w:ascii="Times New Roman" w:hAnsi="Times New Roman" w:cs="Times New Roman"/>
          <w:sz w:val="24"/>
          <w:szCs w:val="24"/>
          <w:lang w:val="en-US"/>
        </w:rPr>
        <w:t>to safeguard public order</w:t>
      </w:r>
      <w:r w:rsidR="0064380F" w:rsidRPr="008E4582">
        <w:rPr>
          <w:rFonts w:ascii="Times New Roman" w:hAnsi="Times New Roman" w:cs="Times New Roman"/>
          <w:sz w:val="24"/>
          <w:szCs w:val="24"/>
          <w:lang w:val="en-US"/>
        </w:rPr>
        <w:t xml:space="preserve"> are nowhere </w:t>
      </w:r>
      <w:r w:rsidR="00527E57" w:rsidRPr="008E4582">
        <w:rPr>
          <w:rFonts w:ascii="Times New Roman" w:hAnsi="Times New Roman" w:cs="Times New Roman"/>
          <w:sz w:val="24"/>
          <w:szCs w:val="24"/>
          <w:lang w:val="en-US"/>
        </w:rPr>
        <w:t xml:space="preserve">listed in a limited way, so that new forms of public order </w:t>
      </w:r>
      <w:r w:rsidR="00356503">
        <w:rPr>
          <w:rFonts w:ascii="Times New Roman" w:hAnsi="Times New Roman" w:cs="Times New Roman"/>
          <w:sz w:val="24"/>
          <w:szCs w:val="24"/>
          <w:lang w:val="en-US"/>
        </w:rPr>
        <w:t>powers</w:t>
      </w:r>
      <w:r w:rsidR="00527E57" w:rsidRPr="008E4582">
        <w:rPr>
          <w:rFonts w:ascii="Times New Roman" w:hAnsi="Times New Roman" w:cs="Times New Roman"/>
          <w:sz w:val="24"/>
          <w:szCs w:val="24"/>
          <w:lang w:val="en-US"/>
        </w:rPr>
        <w:t xml:space="preserve"> may be introduced.</w:t>
      </w:r>
      <w:r w:rsidR="002128F2" w:rsidRPr="008E4582">
        <w:rPr>
          <w:rFonts w:ascii="Times New Roman" w:hAnsi="Times New Roman" w:cs="Times New Roman"/>
          <w:sz w:val="24"/>
          <w:szCs w:val="24"/>
          <w:lang w:val="en-US"/>
        </w:rPr>
        <w:t xml:space="preserve"> </w:t>
      </w:r>
      <w:r w:rsidR="00B06D83" w:rsidRPr="00B656EC">
        <w:rPr>
          <w:rFonts w:ascii="Times New Roman" w:hAnsi="Times New Roman" w:cs="Times New Roman"/>
          <w:sz w:val="24"/>
          <w:szCs w:val="24"/>
          <w:lang w:val="en-US"/>
        </w:rPr>
        <w:t xml:space="preserve">For instance, in Belgium, </w:t>
      </w:r>
      <w:r w:rsidR="00EB01D9" w:rsidRPr="00B656EC">
        <w:rPr>
          <w:rFonts w:ascii="Times New Roman" w:hAnsi="Times New Roman" w:cs="Times New Roman"/>
          <w:sz w:val="24"/>
          <w:szCs w:val="24"/>
          <w:lang w:val="en-US"/>
        </w:rPr>
        <w:t xml:space="preserve">the </w:t>
      </w:r>
      <w:r w:rsidR="00EB01D9" w:rsidRPr="000E6894">
        <w:rPr>
          <w:rFonts w:ascii="Times New Roman" w:hAnsi="Times New Roman" w:cs="Times New Roman"/>
          <w:sz w:val="24"/>
          <w:szCs w:val="24"/>
          <w:lang w:val="en-US"/>
        </w:rPr>
        <w:t xml:space="preserve">introduction </w:t>
      </w:r>
      <w:r w:rsidR="00025B58" w:rsidRPr="000E6894">
        <w:rPr>
          <w:rFonts w:ascii="Times New Roman" w:hAnsi="Times New Roman" w:cs="Times New Roman"/>
          <w:sz w:val="24"/>
          <w:szCs w:val="24"/>
          <w:lang w:val="en-US"/>
        </w:rPr>
        <w:t xml:space="preserve">of the electronic tag </w:t>
      </w:r>
      <w:r w:rsidR="00EB01D9" w:rsidRPr="000E6894">
        <w:rPr>
          <w:rFonts w:ascii="Times New Roman" w:hAnsi="Times New Roman" w:cs="Times New Roman"/>
          <w:sz w:val="24"/>
          <w:szCs w:val="24"/>
          <w:lang w:val="en-US"/>
        </w:rPr>
        <w:t>is debated</w:t>
      </w:r>
      <w:r w:rsidR="000E6894" w:rsidRPr="000E6894">
        <w:rPr>
          <w:rFonts w:ascii="Times New Roman" w:hAnsi="Times New Roman" w:cs="Times New Roman"/>
          <w:sz w:val="24"/>
          <w:szCs w:val="24"/>
          <w:lang w:val="en-US"/>
        </w:rPr>
        <w:t>,</w:t>
      </w:r>
      <w:r w:rsidR="00EB01D9" w:rsidRPr="000E6894">
        <w:rPr>
          <w:rFonts w:ascii="Times New Roman" w:hAnsi="Times New Roman" w:cs="Times New Roman"/>
          <w:sz w:val="24"/>
          <w:szCs w:val="24"/>
          <w:lang w:val="en-US"/>
        </w:rPr>
        <w:t xml:space="preserve"> imposed by the executive in order to </w:t>
      </w:r>
      <w:r w:rsidR="00890F55" w:rsidRPr="000E6894">
        <w:rPr>
          <w:rFonts w:ascii="Times New Roman" w:hAnsi="Times New Roman" w:cs="Times New Roman"/>
          <w:sz w:val="24"/>
          <w:szCs w:val="24"/>
          <w:lang w:val="en-US"/>
        </w:rPr>
        <w:t>fight</w:t>
      </w:r>
      <w:r w:rsidR="00890F55">
        <w:rPr>
          <w:rFonts w:ascii="Times New Roman" w:hAnsi="Times New Roman" w:cs="Times New Roman"/>
          <w:sz w:val="24"/>
          <w:szCs w:val="24"/>
          <w:lang w:val="en-US"/>
        </w:rPr>
        <w:t xml:space="preserve"> radicalisation</w:t>
      </w:r>
      <w:r w:rsidR="00ED0A15">
        <w:rPr>
          <w:rStyle w:val="Odwoanieprzypisudolnego"/>
          <w:rFonts w:ascii="Times New Roman" w:hAnsi="Times New Roman" w:cs="Times New Roman"/>
          <w:sz w:val="24"/>
          <w:szCs w:val="24"/>
          <w:lang w:val="en-US"/>
        </w:rPr>
        <w:footnoteReference w:id="9"/>
      </w:r>
      <w:r w:rsidR="00B656EC" w:rsidRPr="00B656EC">
        <w:rPr>
          <w:rFonts w:ascii="Times New Roman" w:hAnsi="Times New Roman" w:cs="Times New Roman"/>
          <w:sz w:val="24"/>
          <w:szCs w:val="24"/>
          <w:lang w:val="en-US"/>
        </w:rPr>
        <w:t xml:space="preserve">. </w:t>
      </w:r>
      <w:r w:rsidR="006A7592">
        <w:rPr>
          <w:rFonts w:ascii="Times New Roman" w:hAnsi="Times New Roman" w:cs="Times New Roman"/>
          <w:sz w:val="24"/>
          <w:szCs w:val="24"/>
          <w:lang w:val="en-US"/>
        </w:rPr>
        <w:t>Similar freedom-restricting measures imposed in the fight against terrorism already exist i</w:t>
      </w:r>
      <w:r w:rsidR="00ED0A15">
        <w:rPr>
          <w:rFonts w:ascii="Times New Roman" w:hAnsi="Times New Roman" w:cs="Times New Roman"/>
          <w:sz w:val="24"/>
          <w:szCs w:val="24"/>
          <w:lang w:val="en-US"/>
        </w:rPr>
        <w:t>n the United Kingdom</w:t>
      </w:r>
      <w:r w:rsidR="006A7592">
        <w:rPr>
          <w:rFonts w:ascii="Times New Roman" w:hAnsi="Times New Roman" w:cs="Times New Roman"/>
          <w:sz w:val="24"/>
          <w:szCs w:val="24"/>
          <w:lang w:val="en-US"/>
        </w:rPr>
        <w:t xml:space="preserve">. For </w:t>
      </w:r>
      <w:r w:rsidR="00356503">
        <w:rPr>
          <w:rFonts w:ascii="Times New Roman" w:hAnsi="Times New Roman" w:cs="Times New Roman"/>
          <w:sz w:val="24"/>
          <w:szCs w:val="24"/>
          <w:lang w:val="en-US"/>
        </w:rPr>
        <w:t>example</w:t>
      </w:r>
      <w:r w:rsidR="006A7592">
        <w:rPr>
          <w:rFonts w:ascii="Times New Roman" w:hAnsi="Times New Roman" w:cs="Times New Roman"/>
          <w:sz w:val="24"/>
          <w:szCs w:val="24"/>
          <w:lang w:val="en-US"/>
        </w:rPr>
        <w:t xml:space="preserve">, the </w:t>
      </w:r>
      <w:r w:rsidR="006A7592" w:rsidRPr="002D1F31">
        <w:rPr>
          <w:rFonts w:ascii="Times New Roman" w:hAnsi="Times New Roman" w:cs="Times New Roman"/>
          <w:sz w:val="24"/>
          <w:szCs w:val="24"/>
          <w:lang w:val="en-US"/>
        </w:rPr>
        <w:t>Secretary of State can impose s</w:t>
      </w:r>
      <w:r w:rsidR="00ED0A15" w:rsidRPr="002D1F31">
        <w:rPr>
          <w:rFonts w:ascii="Times New Roman" w:hAnsi="Times New Roman" w:cs="Times New Roman"/>
          <w:sz w:val="24"/>
          <w:szCs w:val="24"/>
          <w:lang w:val="en-US"/>
        </w:rPr>
        <w:t xml:space="preserve">o-called </w:t>
      </w:r>
      <w:r w:rsidR="00356503">
        <w:rPr>
          <w:rFonts w:ascii="Times New Roman" w:hAnsi="Times New Roman" w:cs="Times New Roman"/>
          <w:sz w:val="24"/>
          <w:szCs w:val="24"/>
          <w:lang w:val="en-US"/>
        </w:rPr>
        <w:t>‘</w:t>
      </w:r>
      <w:r w:rsidR="00B06D83" w:rsidRPr="002D1F31">
        <w:rPr>
          <w:rFonts w:ascii="Times New Roman" w:hAnsi="Times New Roman" w:cs="Times New Roman"/>
          <w:sz w:val="24"/>
          <w:szCs w:val="24"/>
          <w:lang w:val="en-US"/>
        </w:rPr>
        <w:t>non-derogating control order</w:t>
      </w:r>
      <w:r w:rsidR="00B656EC" w:rsidRPr="002D1F31">
        <w:rPr>
          <w:rFonts w:ascii="Times New Roman" w:hAnsi="Times New Roman" w:cs="Times New Roman"/>
          <w:sz w:val="24"/>
          <w:szCs w:val="24"/>
          <w:lang w:val="en-US"/>
        </w:rPr>
        <w:t>s</w:t>
      </w:r>
      <w:r w:rsidR="00356503">
        <w:rPr>
          <w:rFonts w:ascii="Times New Roman" w:hAnsi="Times New Roman" w:cs="Times New Roman"/>
          <w:sz w:val="24"/>
          <w:szCs w:val="24"/>
          <w:lang w:val="en-US"/>
        </w:rPr>
        <w:t>’</w:t>
      </w:r>
      <w:r w:rsidR="008E4582" w:rsidRPr="002D1F31">
        <w:rPr>
          <w:rStyle w:val="Odwoanieprzypisudolnego"/>
          <w:rFonts w:ascii="Times New Roman" w:hAnsi="Times New Roman" w:cs="Times New Roman"/>
          <w:sz w:val="24"/>
          <w:szCs w:val="24"/>
          <w:lang w:val="en-US"/>
        </w:rPr>
        <w:footnoteReference w:id="10"/>
      </w:r>
      <w:r w:rsidR="008E4582" w:rsidRPr="002D1F31">
        <w:rPr>
          <w:rFonts w:ascii="Times New Roman" w:hAnsi="Times New Roman" w:cs="Times New Roman"/>
          <w:sz w:val="24"/>
          <w:szCs w:val="24"/>
          <w:lang w:val="en-US"/>
        </w:rPr>
        <w:t xml:space="preserve">, </w:t>
      </w:r>
      <w:r w:rsidR="006A7592" w:rsidRPr="002D1F31">
        <w:rPr>
          <w:rFonts w:ascii="Times New Roman" w:hAnsi="Times New Roman" w:cs="Times New Roman"/>
          <w:sz w:val="24"/>
          <w:szCs w:val="24"/>
          <w:lang w:val="en-US"/>
        </w:rPr>
        <w:t xml:space="preserve">which </w:t>
      </w:r>
      <w:r w:rsidR="00392A19">
        <w:rPr>
          <w:rFonts w:ascii="Times New Roman" w:hAnsi="Times New Roman" w:cs="Times New Roman"/>
          <w:sz w:val="24"/>
          <w:szCs w:val="24"/>
          <w:lang w:val="en-US"/>
        </w:rPr>
        <w:lastRenderedPageBreak/>
        <w:t>have</w:t>
      </w:r>
      <w:r w:rsidR="00392A19" w:rsidRPr="002D1F31">
        <w:rPr>
          <w:rFonts w:ascii="Times New Roman" w:hAnsi="Times New Roman" w:cs="Times New Roman"/>
          <w:sz w:val="24"/>
          <w:szCs w:val="24"/>
          <w:lang w:val="en-US"/>
        </w:rPr>
        <w:t xml:space="preserve"> </w:t>
      </w:r>
      <w:r w:rsidR="00890F55" w:rsidRPr="002D1F31">
        <w:rPr>
          <w:rFonts w:ascii="Times New Roman" w:hAnsi="Times New Roman" w:cs="Times New Roman"/>
          <w:sz w:val="24"/>
          <w:szCs w:val="24"/>
          <w:lang w:val="en-US"/>
        </w:rPr>
        <w:t xml:space="preserve">recently </w:t>
      </w:r>
      <w:r w:rsidR="00392A19">
        <w:rPr>
          <w:rFonts w:ascii="Times New Roman" w:hAnsi="Times New Roman" w:cs="Times New Roman"/>
          <w:sz w:val="24"/>
          <w:szCs w:val="24"/>
          <w:lang w:val="en-US"/>
        </w:rPr>
        <w:t xml:space="preserve">been </w:t>
      </w:r>
      <w:r w:rsidR="008E4582" w:rsidRPr="002D1F31">
        <w:rPr>
          <w:rFonts w:ascii="Times New Roman" w:hAnsi="Times New Roman" w:cs="Times New Roman"/>
          <w:sz w:val="24"/>
          <w:szCs w:val="24"/>
          <w:lang w:val="en-US"/>
        </w:rPr>
        <w:t xml:space="preserve">replaced by </w:t>
      </w:r>
      <w:r w:rsidR="00356503">
        <w:rPr>
          <w:rFonts w:ascii="Times New Roman" w:hAnsi="Times New Roman" w:cs="Times New Roman"/>
          <w:sz w:val="24"/>
          <w:szCs w:val="24"/>
          <w:lang w:val="en-US"/>
        </w:rPr>
        <w:t xml:space="preserve">the </w:t>
      </w:r>
      <w:r w:rsidR="00890F55" w:rsidRPr="002D1F31">
        <w:rPr>
          <w:rFonts w:ascii="Times New Roman" w:hAnsi="Times New Roman" w:cs="Times New Roman"/>
          <w:sz w:val="24"/>
          <w:szCs w:val="24"/>
          <w:shd w:val="clear" w:color="auto" w:fill="FFFFFF"/>
          <w:lang w:val="en-US"/>
        </w:rPr>
        <w:t>t</w:t>
      </w:r>
      <w:r w:rsidR="008E4582" w:rsidRPr="002D1F31">
        <w:rPr>
          <w:rFonts w:ascii="Times New Roman" w:hAnsi="Times New Roman" w:cs="Times New Roman"/>
          <w:sz w:val="24"/>
          <w:szCs w:val="24"/>
          <w:shd w:val="clear" w:color="auto" w:fill="FFFFFF"/>
          <w:lang w:val="en-US"/>
        </w:rPr>
        <w:t xml:space="preserve">errorism </w:t>
      </w:r>
      <w:r w:rsidR="00890F55" w:rsidRPr="002D1F31">
        <w:rPr>
          <w:rFonts w:ascii="Times New Roman" w:hAnsi="Times New Roman" w:cs="Times New Roman"/>
          <w:sz w:val="24"/>
          <w:szCs w:val="24"/>
          <w:shd w:val="clear" w:color="auto" w:fill="FFFFFF"/>
          <w:lang w:val="en-US"/>
        </w:rPr>
        <w:t>p</w:t>
      </w:r>
      <w:r w:rsidR="008E4582" w:rsidRPr="002D1F31">
        <w:rPr>
          <w:rFonts w:ascii="Times New Roman" w:hAnsi="Times New Roman" w:cs="Times New Roman"/>
          <w:sz w:val="24"/>
          <w:szCs w:val="24"/>
          <w:shd w:val="clear" w:color="auto" w:fill="FFFFFF"/>
          <w:lang w:val="en-US"/>
        </w:rPr>
        <w:t xml:space="preserve">revention and </w:t>
      </w:r>
      <w:r w:rsidR="00890F55" w:rsidRPr="002D1F31">
        <w:rPr>
          <w:rFonts w:ascii="Times New Roman" w:hAnsi="Times New Roman" w:cs="Times New Roman"/>
          <w:sz w:val="24"/>
          <w:szCs w:val="24"/>
          <w:shd w:val="clear" w:color="auto" w:fill="FFFFFF"/>
          <w:lang w:val="en-US"/>
        </w:rPr>
        <w:t>investigation m</w:t>
      </w:r>
      <w:r w:rsidR="008E4582" w:rsidRPr="002D1F31">
        <w:rPr>
          <w:rFonts w:ascii="Times New Roman" w:hAnsi="Times New Roman" w:cs="Times New Roman"/>
          <w:sz w:val="24"/>
          <w:szCs w:val="24"/>
          <w:shd w:val="clear" w:color="auto" w:fill="FFFFFF"/>
          <w:lang w:val="en-US"/>
        </w:rPr>
        <w:t>easures</w:t>
      </w:r>
      <w:r w:rsidR="00890F55" w:rsidRPr="002D1F31">
        <w:rPr>
          <w:rFonts w:ascii="Times New Roman" w:hAnsi="Times New Roman" w:cs="Times New Roman"/>
          <w:sz w:val="24"/>
          <w:szCs w:val="24"/>
          <w:lang w:val="en-US"/>
        </w:rPr>
        <w:t xml:space="preserve"> or “TPIMs”</w:t>
      </w:r>
      <w:r w:rsidR="002A1478" w:rsidRPr="002D1F31">
        <w:rPr>
          <w:rStyle w:val="Odwoanieprzypisudolnego"/>
          <w:rFonts w:ascii="Times New Roman" w:hAnsi="Times New Roman" w:cs="Times New Roman"/>
          <w:sz w:val="24"/>
          <w:szCs w:val="24"/>
          <w:lang w:val="en-US"/>
        </w:rPr>
        <w:footnoteReference w:id="11"/>
      </w:r>
      <w:r w:rsidR="00B06D83" w:rsidRPr="002D1F31">
        <w:rPr>
          <w:rFonts w:ascii="Times New Roman" w:hAnsi="Times New Roman" w:cs="Times New Roman"/>
          <w:sz w:val="24"/>
          <w:szCs w:val="24"/>
          <w:lang w:val="en-US"/>
        </w:rPr>
        <w:t>.</w:t>
      </w:r>
      <w:r w:rsidR="002A1478" w:rsidRPr="002D1F31">
        <w:rPr>
          <w:rFonts w:ascii="Times New Roman" w:hAnsi="Times New Roman" w:cs="Times New Roman"/>
          <w:sz w:val="24"/>
          <w:szCs w:val="24"/>
          <w:lang w:val="en-US"/>
        </w:rPr>
        <w:t xml:space="preserve"> These </w:t>
      </w:r>
      <w:r w:rsidR="00890F55" w:rsidRPr="002D1F31">
        <w:rPr>
          <w:rFonts w:ascii="Times New Roman" w:hAnsi="Times New Roman" w:cs="Times New Roman"/>
          <w:sz w:val="24"/>
          <w:szCs w:val="24"/>
          <w:lang w:val="en-US"/>
        </w:rPr>
        <w:t>measures</w:t>
      </w:r>
      <w:r w:rsidR="008E4582" w:rsidRPr="002D1F31">
        <w:rPr>
          <w:rFonts w:ascii="Times New Roman" w:hAnsi="Times New Roman" w:cs="Times New Roman"/>
          <w:sz w:val="24"/>
          <w:szCs w:val="24"/>
          <w:lang w:val="en-US"/>
        </w:rPr>
        <w:t xml:space="preserve"> </w:t>
      </w:r>
      <w:r w:rsidR="00356503">
        <w:rPr>
          <w:rFonts w:ascii="Times New Roman" w:hAnsi="Times New Roman" w:cs="Times New Roman"/>
          <w:sz w:val="24"/>
          <w:szCs w:val="24"/>
          <w:lang w:val="en-US"/>
        </w:rPr>
        <w:t>can</w:t>
      </w:r>
      <w:r w:rsidR="008F4C7F" w:rsidRPr="002D1F31">
        <w:rPr>
          <w:rFonts w:ascii="Times New Roman" w:hAnsi="Times New Roman" w:cs="Times New Roman"/>
          <w:sz w:val="24"/>
          <w:szCs w:val="24"/>
          <w:lang w:val="en-US"/>
        </w:rPr>
        <w:t xml:space="preserve"> contain </w:t>
      </w:r>
      <w:r w:rsidR="008E4582" w:rsidRPr="002D1F31">
        <w:rPr>
          <w:rFonts w:ascii="Times New Roman" w:hAnsi="Times New Roman" w:cs="Times New Roman"/>
          <w:sz w:val="24"/>
          <w:szCs w:val="24"/>
          <w:shd w:val="clear" w:color="auto" w:fill="FFFFFF"/>
          <w:lang w:val="en-US"/>
        </w:rPr>
        <w:t xml:space="preserve">exclusions from particular </w:t>
      </w:r>
      <w:r w:rsidR="00ED0A15" w:rsidRPr="002D1F31">
        <w:rPr>
          <w:rFonts w:ascii="Times New Roman" w:hAnsi="Times New Roman" w:cs="Times New Roman"/>
          <w:sz w:val="24"/>
          <w:szCs w:val="24"/>
          <w:shd w:val="clear" w:color="auto" w:fill="FFFFFF"/>
          <w:lang w:val="en-US"/>
        </w:rPr>
        <w:t>areas</w:t>
      </w:r>
      <w:r w:rsidR="008E4582" w:rsidRPr="002D1F31">
        <w:rPr>
          <w:rFonts w:ascii="Times New Roman" w:hAnsi="Times New Roman" w:cs="Times New Roman"/>
          <w:sz w:val="24"/>
          <w:szCs w:val="24"/>
          <w:lang w:val="en-US"/>
        </w:rPr>
        <w:t>, with the possibility to monitor the</w:t>
      </w:r>
      <w:r w:rsidR="00ED0A15" w:rsidRPr="002D1F31">
        <w:rPr>
          <w:rFonts w:ascii="Times New Roman" w:hAnsi="Times New Roman" w:cs="Times New Roman"/>
          <w:sz w:val="24"/>
          <w:szCs w:val="24"/>
          <w:lang w:val="en-US"/>
        </w:rPr>
        <w:t>se exclusions</w:t>
      </w:r>
      <w:r w:rsidR="008E4582" w:rsidRPr="002D1F31">
        <w:rPr>
          <w:rFonts w:ascii="Times New Roman" w:hAnsi="Times New Roman" w:cs="Times New Roman"/>
          <w:sz w:val="24"/>
          <w:szCs w:val="24"/>
          <w:lang w:val="en-US"/>
        </w:rPr>
        <w:t xml:space="preserve"> via electronic tagging</w:t>
      </w:r>
      <w:r w:rsidR="005C253F" w:rsidRPr="002D1F31">
        <w:rPr>
          <w:rStyle w:val="Odwoanieprzypisudolnego"/>
          <w:rFonts w:ascii="Times New Roman" w:hAnsi="Times New Roman" w:cs="Times New Roman"/>
          <w:sz w:val="24"/>
          <w:szCs w:val="24"/>
          <w:lang w:val="en-US"/>
        </w:rPr>
        <w:footnoteReference w:id="12"/>
      </w:r>
      <w:r w:rsidR="002A1478" w:rsidRPr="002D1F31">
        <w:rPr>
          <w:rFonts w:ascii="Times New Roman" w:hAnsi="Times New Roman" w:cs="Times New Roman"/>
          <w:sz w:val="24"/>
          <w:szCs w:val="24"/>
          <w:lang w:val="en-CA"/>
        </w:rPr>
        <w:t>.</w:t>
      </w:r>
    </w:p>
    <w:p w14:paraId="0DB15CAC" w14:textId="6249AC00" w:rsidR="00DC075F" w:rsidRDefault="00D56F93" w:rsidP="00222BDA">
      <w:pPr>
        <w:jc w:val="both"/>
        <w:rPr>
          <w:rFonts w:ascii="Times New Roman" w:hAnsi="Times New Roman" w:cs="Times New Roman"/>
          <w:sz w:val="24"/>
          <w:szCs w:val="24"/>
          <w:lang w:val="en-CA"/>
        </w:rPr>
      </w:pPr>
      <w:r w:rsidRPr="003A5539">
        <w:rPr>
          <w:rFonts w:ascii="Times New Roman" w:hAnsi="Times New Roman" w:cs="Times New Roman"/>
          <w:sz w:val="24"/>
          <w:szCs w:val="24"/>
          <w:lang w:val="en-US"/>
        </w:rPr>
        <w:t>However, t</w:t>
      </w:r>
      <w:r w:rsidR="00D8481D" w:rsidRPr="003A5539">
        <w:rPr>
          <w:rFonts w:ascii="Times New Roman" w:hAnsi="Times New Roman" w:cs="Times New Roman"/>
          <w:sz w:val="24"/>
          <w:szCs w:val="24"/>
          <w:lang w:val="en-US"/>
        </w:rPr>
        <w:t xml:space="preserve">he </w:t>
      </w:r>
      <w:r w:rsidR="002128F2" w:rsidRPr="003A5539">
        <w:rPr>
          <w:rFonts w:ascii="Times New Roman" w:hAnsi="Times New Roman" w:cs="Times New Roman"/>
          <w:sz w:val="24"/>
          <w:szCs w:val="24"/>
          <w:lang w:val="en-US"/>
        </w:rPr>
        <w:t>above</w:t>
      </w:r>
      <w:r w:rsidR="002128F2">
        <w:rPr>
          <w:rFonts w:ascii="Times New Roman" w:hAnsi="Times New Roman" w:cs="Times New Roman"/>
          <w:sz w:val="24"/>
          <w:szCs w:val="24"/>
          <w:lang w:val="en-US"/>
        </w:rPr>
        <w:t>-</w:t>
      </w:r>
      <w:r w:rsidR="002128F2" w:rsidRPr="003A5539">
        <w:rPr>
          <w:rFonts w:ascii="Times New Roman" w:hAnsi="Times New Roman" w:cs="Times New Roman"/>
          <w:sz w:val="24"/>
          <w:szCs w:val="24"/>
          <w:lang w:val="en-US"/>
        </w:rPr>
        <w:t xml:space="preserve">mentioned </w:t>
      </w:r>
      <w:r w:rsidR="00222BDA">
        <w:rPr>
          <w:rFonts w:ascii="Times New Roman" w:hAnsi="Times New Roman" w:cs="Times New Roman"/>
          <w:sz w:val="24"/>
          <w:szCs w:val="24"/>
          <w:lang w:val="en-US"/>
        </w:rPr>
        <w:t xml:space="preserve">public order </w:t>
      </w:r>
      <w:r w:rsidRPr="003A5539">
        <w:rPr>
          <w:rFonts w:ascii="Times New Roman" w:hAnsi="Times New Roman" w:cs="Times New Roman"/>
          <w:sz w:val="24"/>
          <w:szCs w:val="24"/>
          <w:lang w:val="en-US"/>
        </w:rPr>
        <w:t>powers</w:t>
      </w:r>
      <w:r w:rsidR="00D8481D" w:rsidRPr="003A5539">
        <w:rPr>
          <w:rFonts w:ascii="Times New Roman" w:hAnsi="Times New Roman" w:cs="Times New Roman"/>
          <w:sz w:val="24"/>
          <w:szCs w:val="24"/>
          <w:lang w:val="en-US"/>
        </w:rPr>
        <w:t xml:space="preserve"> </w:t>
      </w:r>
      <w:r w:rsidR="003A5539">
        <w:rPr>
          <w:rFonts w:ascii="Times New Roman" w:hAnsi="Times New Roman" w:cs="Times New Roman"/>
          <w:sz w:val="24"/>
          <w:szCs w:val="24"/>
          <w:lang w:val="en-CA"/>
        </w:rPr>
        <w:t xml:space="preserve">constitute serious </w:t>
      </w:r>
      <w:r w:rsidR="003A5539" w:rsidRPr="00B1704D">
        <w:rPr>
          <w:rFonts w:ascii="Times New Roman" w:hAnsi="Times New Roman" w:cs="Times New Roman"/>
          <w:sz w:val="24"/>
          <w:szCs w:val="24"/>
          <w:lang w:val="en-CA"/>
        </w:rPr>
        <w:t xml:space="preserve">restrictions </w:t>
      </w:r>
      <w:r w:rsidR="003A5539">
        <w:rPr>
          <w:rFonts w:ascii="Times New Roman" w:hAnsi="Times New Roman" w:cs="Times New Roman"/>
          <w:sz w:val="24"/>
          <w:szCs w:val="24"/>
          <w:lang w:val="en-CA"/>
        </w:rPr>
        <w:t xml:space="preserve">of our fundamental </w:t>
      </w:r>
      <w:r w:rsidR="003A5539" w:rsidRPr="00B74533">
        <w:rPr>
          <w:rFonts w:ascii="Times New Roman" w:hAnsi="Times New Roman" w:cs="Times New Roman"/>
          <w:sz w:val="24"/>
          <w:szCs w:val="24"/>
          <w:lang w:val="en-CA"/>
        </w:rPr>
        <w:t>rights</w:t>
      </w:r>
      <w:r w:rsidR="003A5539">
        <w:rPr>
          <w:rFonts w:ascii="Times New Roman" w:hAnsi="Times New Roman" w:cs="Times New Roman"/>
          <w:sz w:val="24"/>
          <w:szCs w:val="24"/>
          <w:lang w:val="en-CA"/>
        </w:rPr>
        <w:t xml:space="preserve"> and freedoms, </w:t>
      </w:r>
      <w:r w:rsidR="003A5539" w:rsidRPr="00B74533">
        <w:rPr>
          <w:rFonts w:ascii="Times New Roman" w:hAnsi="Times New Roman" w:cs="Times New Roman"/>
          <w:sz w:val="24"/>
          <w:szCs w:val="24"/>
          <w:lang w:val="en-CA"/>
        </w:rPr>
        <w:t>more specifically the right to freedom of movement</w:t>
      </w:r>
      <w:r w:rsidR="003A5539">
        <w:rPr>
          <w:rFonts w:ascii="Times New Roman" w:hAnsi="Times New Roman" w:cs="Times New Roman"/>
          <w:sz w:val="24"/>
          <w:szCs w:val="24"/>
          <w:lang w:val="en-CA"/>
        </w:rPr>
        <w:t>,</w:t>
      </w:r>
      <w:r w:rsidR="003A5539" w:rsidRPr="00B74533">
        <w:rPr>
          <w:rFonts w:ascii="Times New Roman" w:hAnsi="Times New Roman" w:cs="Times New Roman"/>
          <w:sz w:val="24"/>
          <w:szCs w:val="24"/>
          <w:lang w:val="en-CA"/>
        </w:rPr>
        <w:t xml:space="preserve"> guaranteed</w:t>
      </w:r>
      <w:r w:rsidR="003A5539">
        <w:rPr>
          <w:rFonts w:ascii="Times New Roman" w:hAnsi="Times New Roman" w:cs="Times New Roman"/>
          <w:sz w:val="24"/>
          <w:szCs w:val="24"/>
          <w:lang w:val="en-CA"/>
        </w:rPr>
        <w:t xml:space="preserve"> in</w:t>
      </w:r>
      <w:r w:rsidR="003A5539" w:rsidRPr="00B74533">
        <w:rPr>
          <w:rFonts w:ascii="Times New Roman" w:hAnsi="Times New Roman" w:cs="Times New Roman"/>
          <w:sz w:val="24"/>
          <w:szCs w:val="24"/>
          <w:lang w:val="en-CA"/>
        </w:rPr>
        <w:t xml:space="preserve"> </w:t>
      </w:r>
      <w:r w:rsidR="003A5539" w:rsidRPr="00B74533">
        <w:rPr>
          <w:rFonts w:ascii="Times New Roman" w:hAnsi="Times New Roman" w:cs="Times New Roman"/>
          <w:i/>
          <w:sz w:val="24"/>
          <w:szCs w:val="24"/>
          <w:lang w:val="en-CA"/>
        </w:rPr>
        <w:t xml:space="preserve">inter alia </w:t>
      </w:r>
      <w:r w:rsidR="00571696">
        <w:rPr>
          <w:rFonts w:ascii="Times New Roman" w:hAnsi="Times New Roman" w:cs="Times New Roman"/>
          <w:sz w:val="24"/>
          <w:szCs w:val="24"/>
          <w:lang w:val="en-CA"/>
        </w:rPr>
        <w:t>Article</w:t>
      </w:r>
      <w:r w:rsidR="003A5539" w:rsidRPr="00B74533">
        <w:rPr>
          <w:rFonts w:ascii="Times New Roman" w:hAnsi="Times New Roman" w:cs="Times New Roman"/>
          <w:sz w:val="24"/>
          <w:szCs w:val="24"/>
          <w:lang w:val="en-CA"/>
        </w:rPr>
        <w:t xml:space="preserve"> 2 of the Fourth Additional Protocol of the European Convention on</w:t>
      </w:r>
      <w:r w:rsidR="003A5539">
        <w:rPr>
          <w:rFonts w:ascii="Times New Roman" w:hAnsi="Times New Roman" w:cs="Times New Roman"/>
          <w:sz w:val="24"/>
          <w:szCs w:val="24"/>
          <w:lang w:val="en-CA"/>
        </w:rPr>
        <w:t xml:space="preserve"> Human Rights (“FAP”)</w:t>
      </w:r>
      <w:r w:rsidR="003A5539">
        <w:rPr>
          <w:rStyle w:val="Odwoanieprzypisudolnego"/>
          <w:rFonts w:ascii="Times New Roman" w:hAnsi="Times New Roman" w:cs="Times New Roman"/>
          <w:sz w:val="24"/>
          <w:szCs w:val="24"/>
          <w:lang w:val="en-CA"/>
        </w:rPr>
        <w:footnoteReference w:id="13"/>
      </w:r>
      <w:r w:rsidR="00E4515F">
        <w:rPr>
          <w:rFonts w:ascii="Times New Roman" w:hAnsi="Times New Roman" w:cs="Times New Roman"/>
          <w:sz w:val="24"/>
          <w:szCs w:val="24"/>
          <w:lang w:val="en-CA"/>
        </w:rPr>
        <w:t>, which reads as follows:</w:t>
      </w:r>
      <w:r w:rsidR="003A5539">
        <w:rPr>
          <w:rFonts w:ascii="Times New Roman" w:hAnsi="Times New Roman" w:cs="Times New Roman"/>
          <w:sz w:val="24"/>
          <w:szCs w:val="24"/>
          <w:lang w:val="en-CA"/>
        </w:rPr>
        <w:t xml:space="preserve"> </w:t>
      </w:r>
    </w:p>
    <w:p w14:paraId="3DC78969" w14:textId="014C61A2" w:rsidR="00E4515F" w:rsidRPr="00E4515F" w:rsidRDefault="00E4515F" w:rsidP="00E4515F">
      <w:pPr>
        <w:jc w:val="both"/>
        <w:rPr>
          <w:rFonts w:ascii="Times New Roman" w:hAnsi="Times New Roman" w:cs="Times New Roman"/>
          <w:i/>
          <w:sz w:val="24"/>
          <w:szCs w:val="24"/>
          <w:lang w:val="en-CA"/>
        </w:rPr>
      </w:pPr>
      <w:r>
        <w:rPr>
          <w:rFonts w:ascii="Times New Roman" w:hAnsi="Times New Roman" w:cs="Times New Roman"/>
          <w:i/>
          <w:sz w:val="24"/>
          <w:szCs w:val="24"/>
          <w:lang w:val="en-CA"/>
        </w:rPr>
        <w:t>“</w:t>
      </w:r>
      <w:r w:rsidR="00DC075F" w:rsidRPr="00E4515F">
        <w:rPr>
          <w:rFonts w:ascii="Times New Roman" w:hAnsi="Times New Roman" w:cs="Times New Roman"/>
          <w:i/>
          <w:sz w:val="24"/>
          <w:szCs w:val="24"/>
          <w:lang w:val="en-CA"/>
        </w:rPr>
        <w:t xml:space="preserve">1. Everyone lawfully within the territory of a State shall, within that territory, have the right to liberty of movement and freedom to choose his residence. </w:t>
      </w:r>
    </w:p>
    <w:p w14:paraId="3D14B51D" w14:textId="77777777" w:rsidR="00E4515F" w:rsidRPr="00E4515F" w:rsidRDefault="00DC075F" w:rsidP="00E4515F">
      <w:pPr>
        <w:jc w:val="both"/>
        <w:rPr>
          <w:rFonts w:ascii="Times New Roman" w:hAnsi="Times New Roman" w:cs="Times New Roman"/>
          <w:i/>
          <w:sz w:val="24"/>
          <w:szCs w:val="24"/>
          <w:lang w:val="en-CA"/>
        </w:rPr>
      </w:pPr>
      <w:r w:rsidRPr="00E4515F">
        <w:rPr>
          <w:rFonts w:ascii="Times New Roman" w:hAnsi="Times New Roman" w:cs="Times New Roman"/>
          <w:i/>
          <w:sz w:val="24"/>
          <w:szCs w:val="24"/>
          <w:lang w:val="en-CA"/>
        </w:rPr>
        <w:t xml:space="preserve">2. Everyone shall be free to leave any country, including his own. </w:t>
      </w:r>
    </w:p>
    <w:p w14:paraId="45E17D0E" w14:textId="77777777" w:rsidR="00E4515F" w:rsidRPr="00E4515F" w:rsidRDefault="00DC075F" w:rsidP="00E4515F">
      <w:pPr>
        <w:jc w:val="both"/>
        <w:rPr>
          <w:rFonts w:ascii="Times New Roman" w:hAnsi="Times New Roman" w:cs="Times New Roman"/>
          <w:i/>
          <w:sz w:val="24"/>
          <w:szCs w:val="24"/>
          <w:lang w:val="en-CA"/>
        </w:rPr>
      </w:pPr>
      <w:r w:rsidRPr="00E4515F">
        <w:rPr>
          <w:rFonts w:ascii="Times New Roman" w:hAnsi="Times New Roman" w:cs="Times New Roman"/>
          <w:i/>
          <w:sz w:val="24"/>
          <w:szCs w:val="24"/>
          <w:lang w:val="en-CA"/>
        </w:rPr>
        <w:t>3. No restrictions shall be placed on the exercise of these rights other than such as are in accordance with law and are necessary in a democratic society in the interests of national security or public safety, for the maintenance of public</w:t>
      </w:r>
      <w:r w:rsidR="00E4515F" w:rsidRPr="00E4515F">
        <w:rPr>
          <w:rFonts w:ascii="Times New Roman" w:hAnsi="Times New Roman" w:cs="Times New Roman"/>
          <w:i/>
          <w:sz w:val="24"/>
          <w:szCs w:val="24"/>
          <w:lang w:val="en-CA"/>
        </w:rPr>
        <w:t xml:space="preserve"> order</w:t>
      </w:r>
      <w:r w:rsidRPr="00E4515F">
        <w:rPr>
          <w:rFonts w:ascii="Times New Roman" w:hAnsi="Times New Roman" w:cs="Times New Roman"/>
          <w:i/>
          <w:sz w:val="24"/>
          <w:szCs w:val="24"/>
          <w:lang w:val="en-CA"/>
        </w:rPr>
        <w:t xml:space="preserve">, for the prevention of crime, for the protection of health or morals, or for the protection of the rights and freedoms of others. </w:t>
      </w:r>
    </w:p>
    <w:p w14:paraId="054029AB" w14:textId="37B2B3AF" w:rsidR="00DC075F" w:rsidRPr="00E4515F" w:rsidRDefault="00DC075F" w:rsidP="00E4515F">
      <w:pPr>
        <w:jc w:val="both"/>
        <w:rPr>
          <w:rFonts w:ascii="Times New Roman" w:hAnsi="Times New Roman" w:cs="Times New Roman"/>
          <w:i/>
          <w:sz w:val="24"/>
          <w:szCs w:val="24"/>
          <w:lang w:val="en-CA"/>
        </w:rPr>
      </w:pPr>
      <w:r w:rsidRPr="00E4515F">
        <w:rPr>
          <w:rFonts w:ascii="Times New Roman" w:hAnsi="Times New Roman" w:cs="Times New Roman"/>
          <w:i/>
          <w:sz w:val="24"/>
          <w:szCs w:val="24"/>
          <w:lang w:val="en-CA"/>
        </w:rPr>
        <w:t>4. The rights set forth in paragraph 1 may also be subject, in particular areas, to restrictions imposed in accordance with law and justified by the public interest in a democratic society</w:t>
      </w:r>
      <w:r w:rsidR="00E4515F" w:rsidRPr="00E4515F">
        <w:rPr>
          <w:rFonts w:ascii="Times New Roman" w:hAnsi="Times New Roman" w:cs="Times New Roman"/>
          <w:i/>
          <w:sz w:val="24"/>
          <w:szCs w:val="24"/>
          <w:lang w:val="en-CA"/>
        </w:rPr>
        <w:t>.</w:t>
      </w:r>
      <w:r w:rsidR="00E4515F">
        <w:rPr>
          <w:rFonts w:ascii="Times New Roman" w:hAnsi="Times New Roman" w:cs="Times New Roman"/>
          <w:i/>
          <w:sz w:val="24"/>
          <w:szCs w:val="24"/>
          <w:lang w:val="en-CA"/>
        </w:rPr>
        <w:t>”</w:t>
      </w:r>
    </w:p>
    <w:p w14:paraId="47E528BF" w14:textId="5C54D02C" w:rsidR="00222BDA" w:rsidRDefault="00D8481D" w:rsidP="00222BDA">
      <w:pPr>
        <w:jc w:val="both"/>
        <w:rPr>
          <w:rFonts w:ascii="Times New Roman" w:hAnsi="Times New Roman" w:cs="Times New Roman"/>
          <w:sz w:val="24"/>
          <w:szCs w:val="24"/>
          <w:lang w:val="en-US"/>
        </w:rPr>
      </w:pPr>
      <w:r w:rsidRPr="003A5539">
        <w:rPr>
          <w:rFonts w:ascii="Times New Roman" w:hAnsi="Times New Roman" w:cs="Times New Roman"/>
          <w:sz w:val="24"/>
          <w:szCs w:val="24"/>
          <w:lang w:val="en-US"/>
        </w:rPr>
        <w:t xml:space="preserve">This right prohibits the </w:t>
      </w:r>
      <w:r w:rsidR="00356503">
        <w:rPr>
          <w:rFonts w:ascii="Times New Roman" w:hAnsi="Times New Roman" w:cs="Times New Roman"/>
          <w:sz w:val="24"/>
          <w:szCs w:val="24"/>
          <w:lang w:val="en-US"/>
        </w:rPr>
        <w:t>national authority</w:t>
      </w:r>
      <w:r w:rsidRPr="003A5539">
        <w:rPr>
          <w:rFonts w:ascii="Times New Roman" w:hAnsi="Times New Roman" w:cs="Times New Roman"/>
          <w:sz w:val="24"/>
          <w:szCs w:val="24"/>
          <w:lang w:val="en-US"/>
        </w:rPr>
        <w:t xml:space="preserve"> to </w:t>
      </w:r>
      <w:r w:rsidRPr="003A5539">
        <w:rPr>
          <w:rFonts w:ascii="Times New Roman" w:hAnsi="Times New Roman" w:cs="Times New Roman"/>
          <w:i/>
          <w:sz w:val="24"/>
          <w:szCs w:val="24"/>
          <w:lang w:val="en-US"/>
        </w:rPr>
        <w:t>restrict</w:t>
      </w:r>
      <w:r w:rsidRPr="003A5539">
        <w:rPr>
          <w:rFonts w:ascii="Times New Roman" w:hAnsi="Times New Roman" w:cs="Times New Roman"/>
          <w:sz w:val="24"/>
          <w:szCs w:val="24"/>
          <w:lang w:val="en-US"/>
        </w:rPr>
        <w:t xml:space="preserve"> the individual’s fr</w:t>
      </w:r>
      <w:r w:rsidR="003A5539" w:rsidRPr="003A5539">
        <w:rPr>
          <w:rFonts w:ascii="Times New Roman" w:hAnsi="Times New Roman" w:cs="Times New Roman"/>
          <w:sz w:val="24"/>
          <w:szCs w:val="24"/>
          <w:lang w:val="en-US"/>
        </w:rPr>
        <w:t>ee movement in an arbitrary way</w:t>
      </w:r>
      <w:r w:rsidR="006B31CF">
        <w:rPr>
          <w:rStyle w:val="Odwoanieprzypisudolnego"/>
          <w:rFonts w:ascii="Times New Roman" w:hAnsi="Times New Roman" w:cs="Times New Roman"/>
          <w:sz w:val="24"/>
          <w:szCs w:val="24"/>
          <w:lang w:val="en-US"/>
        </w:rPr>
        <w:footnoteReference w:id="14"/>
      </w:r>
      <w:r w:rsidR="003A5539">
        <w:rPr>
          <w:rFonts w:ascii="Times New Roman" w:hAnsi="Times New Roman" w:cs="Times New Roman"/>
          <w:sz w:val="24"/>
          <w:szCs w:val="24"/>
          <w:lang w:val="en-US"/>
        </w:rPr>
        <w:t xml:space="preserve">. </w:t>
      </w:r>
      <w:r w:rsidR="003A5539" w:rsidRPr="003A5539">
        <w:rPr>
          <w:rFonts w:ascii="Times New Roman" w:hAnsi="Times New Roman" w:cs="Times New Roman"/>
          <w:sz w:val="24"/>
          <w:szCs w:val="24"/>
          <w:lang w:val="en-US"/>
        </w:rPr>
        <w:t xml:space="preserve">Note that every individual also has the right not to arbitrarily lose all freedom of movement and thus </w:t>
      </w:r>
      <w:r w:rsidR="00356503">
        <w:rPr>
          <w:rFonts w:ascii="Times New Roman" w:hAnsi="Times New Roman" w:cs="Times New Roman"/>
          <w:sz w:val="24"/>
          <w:szCs w:val="24"/>
          <w:lang w:val="en-US"/>
        </w:rPr>
        <w:t xml:space="preserve">not </w:t>
      </w:r>
      <w:r w:rsidR="003A5539" w:rsidRPr="003A5539">
        <w:rPr>
          <w:rFonts w:ascii="Times New Roman" w:hAnsi="Times New Roman" w:cs="Times New Roman"/>
          <w:sz w:val="24"/>
          <w:szCs w:val="24"/>
          <w:lang w:val="en-US"/>
        </w:rPr>
        <w:t xml:space="preserve">to be arbitrarily </w:t>
      </w:r>
      <w:r w:rsidR="003A5539" w:rsidRPr="003A5539">
        <w:rPr>
          <w:rFonts w:ascii="Times New Roman" w:hAnsi="Times New Roman" w:cs="Times New Roman"/>
          <w:i/>
          <w:sz w:val="24"/>
          <w:szCs w:val="24"/>
          <w:lang w:val="en-US"/>
        </w:rPr>
        <w:t>deprived</w:t>
      </w:r>
      <w:r w:rsidR="003A5539" w:rsidRPr="003A5539">
        <w:rPr>
          <w:rFonts w:ascii="Times New Roman" w:hAnsi="Times New Roman" w:cs="Times New Roman"/>
          <w:sz w:val="24"/>
          <w:szCs w:val="24"/>
          <w:lang w:val="en-US"/>
        </w:rPr>
        <w:t xml:space="preserve"> of his or her liberty, </w:t>
      </w:r>
      <w:r w:rsidR="00392A19">
        <w:rPr>
          <w:rFonts w:ascii="Times New Roman" w:hAnsi="Times New Roman" w:cs="Times New Roman"/>
          <w:sz w:val="24"/>
          <w:szCs w:val="24"/>
          <w:lang w:val="en-US"/>
        </w:rPr>
        <w:t>as guaranteed in</w:t>
      </w:r>
      <w:r w:rsidR="003A5539" w:rsidRPr="003A5539">
        <w:rPr>
          <w:rFonts w:ascii="Times New Roman" w:hAnsi="Times New Roman" w:cs="Times New Roman"/>
          <w:sz w:val="24"/>
          <w:szCs w:val="24"/>
          <w:lang w:val="en-US"/>
        </w:rPr>
        <w:t xml:space="preserve"> the </w:t>
      </w:r>
      <w:r w:rsidR="003A5539" w:rsidRPr="003A5539">
        <w:rPr>
          <w:rFonts w:ascii="Times New Roman" w:hAnsi="Times New Roman" w:cs="Times New Roman"/>
          <w:i/>
          <w:sz w:val="24"/>
          <w:szCs w:val="24"/>
          <w:lang w:val="en-US"/>
        </w:rPr>
        <w:t>right to liberty and security</w:t>
      </w:r>
      <w:r w:rsidR="003A5539" w:rsidRPr="003A5539">
        <w:rPr>
          <w:rFonts w:ascii="Times New Roman" w:hAnsi="Times New Roman" w:cs="Times New Roman"/>
          <w:sz w:val="24"/>
          <w:szCs w:val="24"/>
          <w:lang w:val="en-US"/>
        </w:rPr>
        <w:t xml:space="preserve"> anchored in </w:t>
      </w:r>
      <w:r w:rsidR="003A5539" w:rsidRPr="003A5539">
        <w:rPr>
          <w:rFonts w:ascii="Times New Roman" w:hAnsi="Times New Roman" w:cs="Times New Roman"/>
          <w:i/>
          <w:sz w:val="24"/>
          <w:szCs w:val="24"/>
          <w:lang w:val="en-US"/>
        </w:rPr>
        <w:t xml:space="preserve">inter alia </w:t>
      </w:r>
      <w:r w:rsidR="00571696">
        <w:rPr>
          <w:rFonts w:ascii="Times New Roman" w:hAnsi="Times New Roman" w:cs="Times New Roman"/>
          <w:sz w:val="24"/>
          <w:szCs w:val="24"/>
          <w:lang w:val="en-US"/>
        </w:rPr>
        <w:t>Article</w:t>
      </w:r>
      <w:r w:rsidR="003A5539" w:rsidRPr="003A5539">
        <w:rPr>
          <w:rFonts w:ascii="Times New Roman" w:hAnsi="Times New Roman" w:cs="Times New Roman"/>
          <w:sz w:val="24"/>
          <w:szCs w:val="24"/>
          <w:lang w:val="en-US"/>
        </w:rPr>
        <w:t xml:space="preserve"> 5 ECHR.</w:t>
      </w:r>
      <w:r w:rsidR="003A5539">
        <w:rPr>
          <w:rFonts w:ascii="Times New Roman" w:hAnsi="Times New Roman" w:cs="Times New Roman"/>
          <w:sz w:val="24"/>
          <w:szCs w:val="24"/>
          <w:lang w:val="en-CA"/>
        </w:rPr>
        <w:t xml:space="preserve"> </w:t>
      </w:r>
      <w:r w:rsidR="00222BDA" w:rsidRPr="00F734B0">
        <w:rPr>
          <w:rFonts w:ascii="Times New Roman" w:hAnsi="Times New Roman" w:cs="Times New Roman"/>
          <w:sz w:val="24"/>
          <w:szCs w:val="24"/>
          <w:lang w:val="en-US"/>
        </w:rPr>
        <w:t>The literature often refers to these rights with the overall conc</w:t>
      </w:r>
      <w:r w:rsidR="00222BDA">
        <w:rPr>
          <w:rFonts w:ascii="Times New Roman" w:hAnsi="Times New Roman" w:cs="Times New Roman"/>
          <w:sz w:val="24"/>
          <w:szCs w:val="24"/>
          <w:lang w:val="en-US"/>
        </w:rPr>
        <w:t xml:space="preserve">ept of the </w:t>
      </w:r>
      <w:r w:rsidR="00222BDA" w:rsidRPr="00F734B0">
        <w:rPr>
          <w:rFonts w:ascii="Times New Roman" w:hAnsi="Times New Roman" w:cs="Times New Roman"/>
          <w:i/>
          <w:sz w:val="24"/>
          <w:szCs w:val="24"/>
          <w:lang w:val="en-US"/>
        </w:rPr>
        <w:t>right to personal freedom</w:t>
      </w:r>
      <w:r w:rsidR="00685C24" w:rsidRPr="00162999">
        <w:rPr>
          <w:rStyle w:val="Odwoanieprzypisudolnego"/>
          <w:rFonts w:ascii="Times New Roman" w:hAnsi="Times New Roman" w:cs="Times New Roman"/>
          <w:sz w:val="24"/>
          <w:szCs w:val="24"/>
        </w:rPr>
        <w:footnoteReference w:id="15"/>
      </w:r>
      <w:r w:rsidR="00222BDA">
        <w:rPr>
          <w:rFonts w:ascii="Times New Roman" w:hAnsi="Times New Roman" w:cs="Times New Roman"/>
          <w:sz w:val="24"/>
          <w:szCs w:val="24"/>
          <w:lang w:val="en-US"/>
        </w:rPr>
        <w:t xml:space="preserve">. </w:t>
      </w:r>
    </w:p>
    <w:p w14:paraId="21CC8A47" w14:textId="0F43C876" w:rsidR="00745890" w:rsidRPr="007203EA" w:rsidRDefault="00222BDA" w:rsidP="00222BDA">
      <w:pPr>
        <w:jc w:val="both"/>
        <w:rPr>
          <w:rFonts w:ascii="Times New Roman" w:hAnsi="Times New Roman" w:cs="Times New Roman"/>
          <w:sz w:val="24"/>
          <w:szCs w:val="24"/>
          <w:lang w:val="en-CA"/>
        </w:rPr>
      </w:pPr>
      <w:r>
        <w:rPr>
          <w:rFonts w:ascii="Times New Roman" w:hAnsi="Times New Roman" w:cs="Times New Roman"/>
          <w:sz w:val="24"/>
          <w:szCs w:val="24"/>
          <w:lang w:val="en-CA"/>
        </w:rPr>
        <w:t>As is apparent from above, t</w:t>
      </w:r>
      <w:r w:rsidRPr="002D6AF8">
        <w:rPr>
          <w:rFonts w:ascii="Times New Roman" w:hAnsi="Times New Roman" w:cs="Times New Roman"/>
          <w:sz w:val="24"/>
          <w:szCs w:val="24"/>
          <w:lang w:val="en-CA"/>
        </w:rPr>
        <w:t xml:space="preserve">he </w:t>
      </w:r>
      <w:r>
        <w:rPr>
          <w:rFonts w:ascii="Times New Roman" w:hAnsi="Times New Roman" w:cs="Times New Roman"/>
          <w:sz w:val="24"/>
          <w:szCs w:val="24"/>
          <w:lang w:val="en-CA"/>
        </w:rPr>
        <w:t xml:space="preserve">right to personal freedom </w:t>
      </w:r>
      <w:r w:rsidRPr="002D6AF8">
        <w:rPr>
          <w:rFonts w:ascii="Times New Roman" w:hAnsi="Times New Roman" w:cs="Times New Roman"/>
          <w:sz w:val="24"/>
          <w:szCs w:val="24"/>
          <w:lang w:val="en-CA"/>
        </w:rPr>
        <w:t xml:space="preserve">aims to protect the </w:t>
      </w:r>
      <w:r>
        <w:rPr>
          <w:rFonts w:ascii="Times New Roman" w:hAnsi="Times New Roman" w:cs="Times New Roman"/>
          <w:sz w:val="24"/>
          <w:szCs w:val="24"/>
          <w:lang w:val="en-CA"/>
        </w:rPr>
        <w:t>individual</w:t>
      </w:r>
      <w:r w:rsidRPr="002D6AF8">
        <w:rPr>
          <w:rFonts w:ascii="Times New Roman" w:hAnsi="Times New Roman" w:cs="Times New Roman"/>
          <w:sz w:val="24"/>
          <w:szCs w:val="24"/>
          <w:lang w:val="en-CA"/>
        </w:rPr>
        <w:t xml:space="preserve"> against </w:t>
      </w:r>
      <w:r w:rsidR="00356503">
        <w:rPr>
          <w:rFonts w:ascii="Times New Roman" w:hAnsi="Times New Roman" w:cs="Times New Roman"/>
          <w:sz w:val="24"/>
          <w:szCs w:val="24"/>
          <w:lang w:val="en-CA"/>
        </w:rPr>
        <w:t>arbitrary S</w:t>
      </w:r>
      <w:r w:rsidRPr="003C7803">
        <w:rPr>
          <w:rFonts w:ascii="Times New Roman" w:hAnsi="Times New Roman" w:cs="Times New Roman"/>
          <w:sz w:val="24"/>
          <w:szCs w:val="24"/>
          <w:lang w:val="en-CA"/>
        </w:rPr>
        <w:t xml:space="preserve">tate action. </w:t>
      </w:r>
      <w:r w:rsidR="00742546" w:rsidRPr="003C7803">
        <w:rPr>
          <w:rFonts w:ascii="Times New Roman" w:hAnsi="Times New Roman" w:cs="Times New Roman"/>
          <w:sz w:val="24"/>
          <w:szCs w:val="24"/>
          <w:lang w:val="en-CA"/>
        </w:rPr>
        <w:t xml:space="preserve"> </w:t>
      </w:r>
      <w:r w:rsidR="003A5539" w:rsidRPr="003C7803">
        <w:rPr>
          <w:rFonts w:ascii="Times New Roman" w:hAnsi="Times New Roman" w:cs="Times New Roman"/>
          <w:sz w:val="24"/>
          <w:szCs w:val="24"/>
          <w:lang w:val="en-CA"/>
        </w:rPr>
        <w:t>Yet</w:t>
      </w:r>
      <w:r w:rsidR="003C7803" w:rsidRPr="003C7803">
        <w:rPr>
          <w:rFonts w:ascii="Times New Roman" w:hAnsi="Times New Roman" w:cs="Times New Roman"/>
          <w:sz w:val="24"/>
          <w:szCs w:val="24"/>
          <w:lang w:val="en-CA"/>
        </w:rPr>
        <w:t>,</w:t>
      </w:r>
      <w:r w:rsidR="003A5539" w:rsidRPr="003C7803">
        <w:rPr>
          <w:rFonts w:ascii="Times New Roman" w:hAnsi="Times New Roman" w:cs="Times New Roman"/>
          <w:sz w:val="24"/>
          <w:szCs w:val="24"/>
          <w:lang w:val="en-CA"/>
        </w:rPr>
        <w:t xml:space="preserve"> </w:t>
      </w:r>
      <w:r w:rsidR="00D8481D" w:rsidRPr="003C7803">
        <w:rPr>
          <w:rFonts w:ascii="Times New Roman" w:hAnsi="Times New Roman" w:cs="Times New Roman"/>
          <w:sz w:val="24"/>
          <w:szCs w:val="24"/>
          <w:lang w:val="en-CA"/>
        </w:rPr>
        <w:t>it is not an unlimited or absolute right and restrictions are possible,</w:t>
      </w:r>
      <w:r w:rsidR="00D8481D" w:rsidRPr="003A5539">
        <w:rPr>
          <w:rFonts w:ascii="Times New Roman" w:hAnsi="Times New Roman" w:cs="Times New Roman"/>
          <w:sz w:val="24"/>
          <w:szCs w:val="24"/>
          <w:lang w:val="en-CA"/>
        </w:rPr>
        <w:t xml:space="preserve"> </w:t>
      </w:r>
      <w:r w:rsidR="00D8481D" w:rsidRPr="003A5539">
        <w:rPr>
          <w:rFonts w:ascii="Times New Roman" w:hAnsi="Times New Roman" w:cs="Times New Roman"/>
          <w:i/>
          <w:sz w:val="24"/>
          <w:szCs w:val="24"/>
          <w:lang w:val="en-CA"/>
        </w:rPr>
        <w:t xml:space="preserve">inter alia </w:t>
      </w:r>
      <w:r w:rsidR="00D8481D" w:rsidRPr="003A5539">
        <w:rPr>
          <w:rFonts w:ascii="Times New Roman" w:hAnsi="Times New Roman" w:cs="Times New Roman"/>
          <w:sz w:val="24"/>
          <w:szCs w:val="24"/>
          <w:lang w:val="en-CA"/>
        </w:rPr>
        <w:t xml:space="preserve">to maintain public order. </w:t>
      </w:r>
      <w:r w:rsidR="00745890" w:rsidRPr="003A5539">
        <w:rPr>
          <w:rFonts w:ascii="Times New Roman" w:hAnsi="Times New Roman" w:cs="Times New Roman"/>
          <w:sz w:val="24"/>
          <w:szCs w:val="24"/>
          <w:lang w:val="en-CA"/>
        </w:rPr>
        <w:t xml:space="preserve">These restrictions can occur in various gradations, ranging from the mere limitation of the individual’s free movement under </w:t>
      </w:r>
      <w:r w:rsidR="00571696">
        <w:rPr>
          <w:rFonts w:ascii="Times New Roman" w:hAnsi="Times New Roman" w:cs="Times New Roman"/>
          <w:sz w:val="24"/>
          <w:szCs w:val="24"/>
          <w:lang w:val="en-CA"/>
        </w:rPr>
        <w:t>Article</w:t>
      </w:r>
      <w:r w:rsidR="00745890" w:rsidRPr="003A5539">
        <w:rPr>
          <w:rFonts w:ascii="Times New Roman" w:hAnsi="Times New Roman" w:cs="Times New Roman"/>
          <w:sz w:val="24"/>
          <w:szCs w:val="24"/>
          <w:lang w:val="en-CA"/>
        </w:rPr>
        <w:t xml:space="preserve"> 2 FAP to the more far-reaching deprivation of all liberty under </w:t>
      </w:r>
      <w:r w:rsidR="00571696">
        <w:rPr>
          <w:rFonts w:ascii="Times New Roman" w:hAnsi="Times New Roman" w:cs="Times New Roman"/>
          <w:sz w:val="24"/>
          <w:szCs w:val="24"/>
          <w:lang w:val="en-CA"/>
        </w:rPr>
        <w:t>Article</w:t>
      </w:r>
      <w:r w:rsidR="00745890" w:rsidRPr="003A5539">
        <w:rPr>
          <w:rFonts w:ascii="Times New Roman" w:hAnsi="Times New Roman" w:cs="Times New Roman"/>
          <w:sz w:val="24"/>
          <w:szCs w:val="24"/>
          <w:lang w:val="en-CA"/>
        </w:rPr>
        <w:t xml:space="preserve"> 5 ECHR.</w:t>
      </w:r>
      <w:r w:rsidR="00745890" w:rsidRPr="00745890">
        <w:rPr>
          <w:rFonts w:ascii="Times New Roman" w:hAnsi="Times New Roman" w:cs="Times New Roman"/>
          <w:sz w:val="24"/>
          <w:szCs w:val="24"/>
          <w:lang w:val="en-CA"/>
        </w:rPr>
        <w:t xml:space="preserve"> </w:t>
      </w:r>
      <w:r w:rsidR="00745890" w:rsidRPr="00742546">
        <w:rPr>
          <w:rFonts w:ascii="Times New Roman" w:hAnsi="Times New Roman" w:cs="Times New Roman"/>
          <w:sz w:val="24"/>
          <w:szCs w:val="24"/>
          <w:lang w:val="en-CA"/>
        </w:rPr>
        <w:t xml:space="preserve">As to area-based restrictions, they </w:t>
      </w:r>
      <w:r w:rsidR="00356503">
        <w:rPr>
          <w:rFonts w:ascii="Times New Roman" w:hAnsi="Times New Roman" w:cs="Times New Roman"/>
          <w:sz w:val="24"/>
          <w:szCs w:val="24"/>
          <w:lang w:val="en-CA"/>
        </w:rPr>
        <w:t>may</w:t>
      </w:r>
      <w:r w:rsidR="00745890" w:rsidRPr="00742546">
        <w:rPr>
          <w:rFonts w:ascii="Times New Roman" w:hAnsi="Times New Roman" w:cs="Times New Roman"/>
          <w:sz w:val="24"/>
          <w:szCs w:val="24"/>
          <w:lang w:val="en-CA"/>
        </w:rPr>
        <w:t xml:space="preserve"> be considered to be mere limitations of the individual’s free movement without </w:t>
      </w:r>
      <w:r w:rsidR="00745890" w:rsidRPr="00742546">
        <w:rPr>
          <w:rFonts w:ascii="Times New Roman" w:hAnsi="Times New Roman" w:cs="Times New Roman"/>
          <w:sz w:val="24"/>
          <w:szCs w:val="24"/>
          <w:lang w:val="en-CA"/>
        </w:rPr>
        <w:lastRenderedPageBreak/>
        <w:t xml:space="preserve">depriving the individual of all </w:t>
      </w:r>
      <w:r w:rsidR="00356503">
        <w:rPr>
          <w:rFonts w:ascii="Times New Roman" w:hAnsi="Times New Roman" w:cs="Times New Roman"/>
          <w:sz w:val="24"/>
          <w:szCs w:val="24"/>
          <w:lang w:val="en-CA"/>
        </w:rPr>
        <w:t>liberty</w:t>
      </w:r>
      <w:r w:rsidR="00745890" w:rsidRPr="00742546">
        <w:rPr>
          <w:rStyle w:val="Odwoanieprzypisudolnego"/>
          <w:rFonts w:ascii="Times New Roman" w:hAnsi="Times New Roman" w:cs="Times New Roman"/>
          <w:sz w:val="24"/>
          <w:szCs w:val="24"/>
          <w:lang w:val="en-CA"/>
        </w:rPr>
        <w:footnoteReference w:id="16"/>
      </w:r>
      <w:r w:rsidR="00745890" w:rsidRPr="00742546">
        <w:rPr>
          <w:rFonts w:ascii="Times New Roman" w:hAnsi="Times New Roman" w:cs="Times New Roman"/>
          <w:sz w:val="24"/>
          <w:szCs w:val="24"/>
          <w:lang w:val="en-CA"/>
        </w:rPr>
        <w:t>. Consequently, this contribution fo</w:t>
      </w:r>
      <w:r w:rsidR="00C00811">
        <w:rPr>
          <w:rFonts w:ascii="Times New Roman" w:hAnsi="Times New Roman" w:cs="Times New Roman"/>
          <w:sz w:val="24"/>
          <w:szCs w:val="24"/>
          <w:lang w:val="en-CA"/>
        </w:rPr>
        <w:t xml:space="preserve">cuses on </w:t>
      </w:r>
      <w:r w:rsidR="00571696">
        <w:rPr>
          <w:rFonts w:ascii="Times New Roman" w:hAnsi="Times New Roman" w:cs="Times New Roman"/>
          <w:sz w:val="24"/>
          <w:szCs w:val="24"/>
          <w:lang w:val="en-CA"/>
        </w:rPr>
        <w:t>Article</w:t>
      </w:r>
      <w:r w:rsidR="00C00811">
        <w:rPr>
          <w:rFonts w:ascii="Times New Roman" w:hAnsi="Times New Roman" w:cs="Times New Roman"/>
          <w:sz w:val="24"/>
          <w:szCs w:val="24"/>
          <w:lang w:val="en-CA"/>
        </w:rPr>
        <w:t xml:space="preserve"> 2 FAP and not </w:t>
      </w:r>
      <w:r w:rsidR="00745890" w:rsidRPr="00742546">
        <w:rPr>
          <w:rFonts w:ascii="Times New Roman" w:hAnsi="Times New Roman" w:cs="Times New Roman"/>
          <w:sz w:val="24"/>
          <w:szCs w:val="24"/>
          <w:lang w:val="en-CA"/>
        </w:rPr>
        <w:t xml:space="preserve">on </w:t>
      </w:r>
      <w:r w:rsidR="00571696">
        <w:rPr>
          <w:rFonts w:ascii="Times New Roman" w:hAnsi="Times New Roman" w:cs="Times New Roman"/>
          <w:sz w:val="24"/>
          <w:szCs w:val="24"/>
          <w:lang w:val="en-CA"/>
        </w:rPr>
        <w:t>Article</w:t>
      </w:r>
      <w:r w:rsidR="00745890" w:rsidRPr="00742546">
        <w:rPr>
          <w:rFonts w:ascii="Times New Roman" w:hAnsi="Times New Roman" w:cs="Times New Roman"/>
          <w:sz w:val="24"/>
          <w:szCs w:val="24"/>
          <w:lang w:val="en-CA"/>
        </w:rPr>
        <w:t xml:space="preserve"> 5 ECHR. </w:t>
      </w:r>
    </w:p>
    <w:p w14:paraId="3EE18DA6" w14:textId="7AE942E8" w:rsidR="00745890" w:rsidRPr="003A5539" w:rsidRDefault="00356503" w:rsidP="00745890">
      <w:pPr>
        <w:jc w:val="both"/>
        <w:rPr>
          <w:rFonts w:ascii="Times New Roman" w:hAnsi="Times New Roman" w:cs="Times New Roman"/>
          <w:color w:val="BFBFBF" w:themeColor="background1" w:themeShade="BF"/>
          <w:sz w:val="24"/>
          <w:szCs w:val="24"/>
          <w:lang w:val="en-US"/>
        </w:rPr>
      </w:pPr>
      <w:r>
        <w:rPr>
          <w:rFonts w:ascii="Times New Roman" w:hAnsi="Times New Roman" w:cs="Times New Roman"/>
          <w:sz w:val="24"/>
          <w:szCs w:val="24"/>
          <w:lang w:val="en-CA"/>
        </w:rPr>
        <w:t>It is important to point out that</w:t>
      </w:r>
      <w:r w:rsidR="00745890">
        <w:rPr>
          <w:rFonts w:ascii="Times New Roman" w:hAnsi="Times New Roman" w:cs="Times New Roman"/>
          <w:sz w:val="24"/>
          <w:szCs w:val="24"/>
          <w:lang w:val="en-CA"/>
        </w:rPr>
        <w:t xml:space="preserve">, </w:t>
      </w:r>
      <w:r w:rsidR="00222BDA">
        <w:rPr>
          <w:rFonts w:ascii="Times New Roman" w:hAnsi="Times New Roman" w:cs="Times New Roman"/>
          <w:sz w:val="24"/>
          <w:szCs w:val="24"/>
          <w:lang w:val="en-CA"/>
        </w:rPr>
        <w:t>according</w:t>
      </w:r>
      <w:r w:rsidR="00745890" w:rsidRPr="003A5539">
        <w:rPr>
          <w:rFonts w:ascii="Times New Roman" w:hAnsi="Times New Roman" w:cs="Times New Roman"/>
          <w:sz w:val="24"/>
          <w:szCs w:val="24"/>
          <w:lang w:val="en-US"/>
        </w:rPr>
        <w:t xml:space="preserve"> to the </w:t>
      </w:r>
      <w:r w:rsidR="00222BDA" w:rsidRPr="00490438">
        <w:rPr>
          <w:rFonts w:ascii="Times New Roman" w:hAnsi="Times New Roman" w:cs="Times New Roman"/>
          <w:sz w:val="24"/>
          <w:szCs w:val="24"/>
          <w:shd w:val="clear" w:color="auto" w:fill="FFFFFF"/>
          <w:lang w:val="en-US"/>
        </w:rPr>
        <w:t>European Court of Human Rights</w:t>
      </w:r>
      <w:r w:rsidR="00222BDA">
        <w:rPr>
          <w:rFonts w:ascii="Times New Roman" w:hAnsi="Times New Roman" w:cs="Times New Roman"/>
          <w:sz w:val="24"/>
          <w:szCs w:val="24"/>
          <w:shd w:val="clear" w:color="auto" w:fill="FFFFFF"/>
          <w:lang w:val="en-US"/>
        </w:rPr>
        <w:t>’</w:t>
      </w:r>
      <w:r w:rsidR="00222BDA" w:rsidRPr="003A5539">
        <w:rPr>
          <w:rFonts w:ascii="Times New Roman" w:hAnsi="Times New Roman" w:cs="Times New Roman"/>
          <w:sz w:val="24"/>
          <w:szCs w:val="24"/>
          <w:lang w:val="en-US"/>
        </w:rPr>
        <w:t xml:space="preserve"> </w:t>
      </w:r>
      <w:r w:rsidR="00745890" w:rsidRPr="003A5539">
        <w:rPr>
          <w:rFonts w:ascii="Times New Roman" w:hAnsi="Times New Roman" w:cs="Times New Roman"/>
          <w:sz w:val="24"/>
          <w:szCs w:val="24"/>
          <w:lang w:val="en-US"/>
        </w:rPr>
        <w:t xml:space="preserve">case law, the right to liberty of movement in </w:t>
      </w:r>
      <w:r w:rsidR="00571696">
        <w:rPr>
          <w:rFonts w:ascii="Times New Roman" w:hAnsi="Times New Roman" w:cs="Times New Roman"/>
          <w:sz w:val="24"/>
          <w:szCs w:val="24"/>
          <w:lang w:val="en-US"/>
        </w:rPr>
        <w:t>Article</w:t>
      </w:r>
      <w:r w:rsidR="00745890" w:rsidRPr="003A5539">
        <w:rPr>
          <w:rFonts w:ascii="Times New Roman" w:hAnsi="Times New Roman" w:cs="Times New Roman"/>
          <w:sz w:val="24"/>
          <w:szCs w:val="24"/>
          <w:lang w:val="en-US"/>
        </w:rPr>
        <w:t xml:space="preserve"> 2 FAP must be clearly distinguished from the right to liberty and security in </w:t>
      </w:r>
      <w:r w:rsidR="00571696">
        <w:rPr>
          <w:rFonts w:ascii="Times New Roman" w:hAnsi="Times New Roman" w:cs="Times New Roman"/>
          <w:sz w:val="24"/>
          <w:szCs w:val="24"/>
          <w:lang w:val="en-US"/>
        </w:rPr>
        <w:t>Article</w:t>
      </w:r>
      <w:r w:rsidR="00745890" w:rsidRPr="003A5539">
        <w:rPr>
          <w:rFonts w:ascii="Times New Roman" w:hAnsi="Times New Roman" w:cs="Times New Roman"/>
          <w:sz w:val="24"/>
          <w:szCs w:val="24"/>
          <w:lang w:val="en-US"/>
        </w:rPr>
        <w:t xml:space="preserve"> 5 ECHR. I</w:t>
      </w:r>
      <w:r w:rsidR="00745890" w:rsidRPr="003A5539">
        <w:rPr>
          <w:rFonts w:ascii="Times New Roman" w:hAnsi="Times New Roman" w:cs="Times New Roman"/>
          <w:sz w:val="24"/>
          <w:szCs w:val="24"/>
          <w:lang w:val="en-CA"/>
        </w:rPr>
        <w:t xml:space="preserve">n </w:t>
      </w:r>
      <w:r>
        <w:rPr>
          <w:rFonts w:ascii="Times New Roman" w:hAnsi="Times New Roman" w:cs="Times New Roman"/>
          <w:i/>
          <w:sz w:val="24"/>
          <w:szCs w:val="24"/>
          <w:lang w:val="en-CA"/>
        </w:rPr>
        <w:t>Austin</w:t>
      </w:r>
      <w:r w:rsidR="00745890" w:rsidRPr="003A5539">
        <w:rPr>
          <w:rStyle w:val="Odwoanieprzypisudolnego"/>
          <w:rFonts w:ascii="Times New Roman" w:hAnsi="Times New Roman" w:cs="Times New Roman"/>
          <w:sz w:val="24"/>
          <w:szCs w:val="24"/>
          <w:lang w:val="en-CA"/>
        </w:rPr>
        <w:footnoteReference w:id="17"/>
      </w:r>
      <w:r>
        <w:rPr>
          <w:rFonts w:ascii="Times New Roman" w:hAnsi="Times New Roman" w:cs="Times New Roman"/>
          <w:sz w:val="24"/>
          <w:szCs w:val="24"/>
          <w:lang w:val="en-CA"/>
        </w:rPr>
        <w:t>,</w:t>
      </w:r>
      <w:r w:rsidR="00745890" w:rsidRPr="003A5539">
        <w:rPr>
          <w:rFonts w:ascii="Times New Roman" w:hAnsi="Times New Roman" w:cs="Times New Roman"/>
          <w:sz w:val="24"/>
          <w:szCs w:val="24"/>
          <w:lang w:val="en-CA"/>
        </w:rPr>
        <w:t xml:space="preserve"> </w:t>
      </w:r>
      <w:r w:rsidR="00745890" w:rsidRPr="003A5539">
        <w:rPr>
          <w:rFonts w:ascii="Times New Roman" w:hAnsi="Times New Roman" w:cs="Times New Roman"/>
          <w:sz w:val="24"/>
          <w:szCs w:val="24"/>
          <w:lang w:val="en-US"/>
        </w:rPr>
        <w:t xml:space="preserve">the </w:t>
      </w:r>
      <w:r w:rsidR="00457179">
        <w:rPr>
          <w:rFonts w:ascii="Times New Roman" w:hAnsi="Times New Roman" w:cs="Times New Roman"/>
          <w:sz w:val="24"/>
          <w:szCs w:val="24"/>
          <w:lang w:val="en-CA"/>
        </w:rPr>
        <w:t>European Court of Human Rights</w:t>
      </w:r>
      <w:r w:rsidR="00457179" w:rsidRPr="003A5539">
        <w:rPr>
          <w:rFonts w:ascii="Times New Roman" w:hAnsi="Times New Roman" w:cs="Times New Roman"/>
          <w:sz w:val="24"/>
          <w:szCs w:val="24"/>
          <w:lang w:val="en-CA"/>
        </w:rPr>
        <w:t xml:space="preserve"> </w:t>
      </w:r>
      <w:r w:rsidR="00745890" w:rsidRPr="003A5539">
        <w:rPr>
          <w:rFonts w:ascii="Times New Roman" w:hAnsi="Times New Roman" w:cs="Times New Roman"/>
          <w:sz w:val="24"/>
          <w:szCs w:val="24"/>
          <w:lang w:val="en-CA"/>
        </w:rPr>
        <w:t>stated that the ri</w:t>
      </w:r>
      <w:r>
        <w:rPr>
          <w:rFonts w:ascii="Times New Roman" w:hAnsi="Times New Roman" w:cs="Times New Roman"/>
          <w:sz w:val="24"/>
          <w:szCs w:val="24"/>
          <w:lang w:val="en-CA"/>
        </w:rPr>
        <w:t xml:space="preserve">ghts guaranteed under the ECHR – which are </w:t>
      </w:r>
      <w:r w:rsidR="00745890" w:rsidRPr="003A5539">
        <w:rPr>
          <w:rFonts w:ascii="Times New Roman" w:hAnsi="Times New Roman" w:cs="Times New Roman"/>
          <w:sz w:val="24"/>
          <w:szCs w:val="24"/>
          <w:lang w:val="en-CA"/>
        </w:rPr>
        <w:t>incorporated in</w:t>
      </w:r>
      <w:r w:rsidR="003A413D">
        <w:rPr>
          <w:rFonts w:ascii="Times New Roman" w:hAnsi="Times New Roman" w:cs="Times New Roman"/>
          <w:sz w:val="24"/>
          <w:szCs w:val="24"/>
          <w:lang w:val="en-CA"/>
        </w:rPr>
        <w:t>to</w:t>
      </w:r>
      <w:r w:rsidR="00745890" w:rsidRPr="003A5539">
        <w:rPr>
          <w:rFonts w:ascii="Times New Roman" w:hAnsi="Times New Roman" w:cs="Times New Roman"/>
          <w:sz w:val="24"/>
          <w:szCs w:val="24"/>
          <w:lang w:val="en-CA"/>
        </w:rPr>
        <w:t xml:space="preserve"> UK domestic law </w:t>
      </w:r>
      <w:r w:rsidR="005B3FA8">
        <w:rPr>
          <w:rFonts w:ascii="Times New Roman" w:hAnsi="Times New Roman" w:cs="Times New Roman"/>
          <w:sz w:val="24"/>
          <w:szCs w:val="24"/>
          <w:lang w:val="en-CA"/>
        </w:rPr>
        <w:t xml:space="preserve">by the Human Rights Act 1998 </w:t>
      </w:r>
      <w:r w:rsidR="00745890" w:rsidRPr="003A5539">
        <w:rPr>
          <w:rFonts w:ascii="Times New Roman" w:hAnsi="Times New Roman" w:cs="Times New Roman"/>
          <w:sz w:val="24"/>
          <w:szCs w:val="24"/>
          <w:lang w:val="en-US"/>
        </w:rPr>
        <w:t xml:space="preserve">via the so-called </w:t>
      </w:r>
      <w:r w:rsidR="00745890" w:rsidRPr="00EA5AA9">
        <w:rPr>
          <w:rFonts w:ascii="Times New Roman" w:hAnsi="Times New Roman" w:cs="Times New Roman"/>
          <w:sz w:val="24"/>
          <w:szCs w:val="24"/>
          <w:lang w:val="en-US"/>
        </w:rPr>
        <w:t>Convention rights</w:t>
      </w:r>
      <w:r>
        <w:rPr>
          <w:rFonts w:ascii="Times New Roman" w:hAnsi="Times New Roman" w:cs="Times New Roman"/>
          <w:sz w:val="24"/>
          <w:szCs w:val="24"/>
          <w:lang w:val="en-US"/>
        </w:rPr>
        <w:t xml:space="preserve"> – and </w:t>
      </w:r>
      <w:r w:rsidR="00745890" w:rsidRPr="003A5539">
        <w:rPr>
          <w:rFonts w:ascii="Times New Roman" w:hAnsi="Times New Roman" w:cs="Times New Roman"/>
          <w:sz w:val="24"/>
          <w:szCs w:val="24"/>
          <w:lang w:val="en-CA"/>
        </w:rPr>
        <w:t xml:space="preserve">more specifically the right to liberty and security in </w:t>
      </w:r>
      <w:r w:rsidR="00571696">
        <w:rPr>
          <w:rFonts w:ascii="Times New Roman" w:hAnsi="Times New Roman" w:cs="Times New Roman"/>
          <w:sz w:val="24"/>
          <w:szCs w:val="24"/>
          <w:lang w:val="en-CA"/>
        </w:rPr>
        <w:t>Article</w:t>
      </w:r>
      <w:r w:rsidR="00745890" w:rsidRPr="003A5539">
        <w:rPr>
          <w:rFonts w:ascii="Times New Roman" w:hAnsi="Times New Roman" w:cs="Times New Roman"/>
          <w:sz w:val="24"/>
          <w:szCs w:val="24"/>
          <w:lang w:val="en-CA"/>
        </w:rPr>
        <w:t xml:space="preserve"> 5</w:t>
      </w:r>
      <w:r w:rsidR="006A4348">
        <w:rPr>
          <w:rFonts w:ascii="Times New Roman" w:hAnsi="Times New Roman" w:cs="Times New Roman"/>
          <w:sz w:val="24"/>
          <w:szCs w:val="24"/>
          <w:lang w:val="en-CA"/>
        </w:rPr>
        <w:t>,</w:t>
      </w:r>
      <w:r w:rsidR="00745890" w:rsidRPr="003A5539">
        <w:rPr>
          <w:rFonts w:ascii="Times New Roman" w:hAnsi="Times New Roman" w:cs="Times New Roman"/>
          <w:sz w:val="24"/>
          <w:szCs w:val="24"/>
          <w:lang w:val="en-CA"/>
        </w:rPr>
        <w:t xml:space="preserve"> may not be interpreted as (also) providing the requirements of the Fourth Additional Protocol as </w:t>
      </w:r>
      <w:r w:rsidR="00745890" w:rsidRPr="003A5539">
        <w:rPr>
          <w:rFonts w:ascii="Times New Roman" w:hAnsi="Times New Roman" w:cs="Times New Roman"/>
          <w:sz w:val="24"/>
          <w:szCs w:val="24"/>
          <w:lang w:val="en-US"/>
        </w:rPr>
        <w:t>regards Contracting States to the ECHR who have n</w:t>
      </w:r>
      <w:r w:rsidR="00745890">
        <w:rPr>
          <w:rFonts w:ascii="Times New Roman" w:hAnsi="Times New Roman" w:cs="Times New Roman"/>
          <w:sz w:val="24"/>
          <w:szCs w:val="24"/>
          <w:lang w:val="en-US"/>
        </w:rPr>
        <w:t>ot yet ratified this protocol</w:t>
      </w:r>
      <w:r w:rsidR="00745890" w:rsidRPr="003A5539">
        <w:rPr>
          <w:rStyle w:val="Odwoanieprzypisudolnego"/>
          <w:rFonts w:ascii="Times New Roman" w:hAnsi="Times New Roman" w:cs="Times New Roman"/>
          <w:color w:val="000000"/>
          <w:sz w:val="24"/>
          <w:szCs w:val="24"/>
          <w:shd w:val="clear" w:color="auto" w:fill="FFFFFF"/>
        </w:rPr>
        <w:footnoteReference w:id="18"/>
      </w:r>
      <w:r w:rsidR="00745890">
        <w:rPr>
          <w:rFonts w:ascii="Times New Roman" w:hAnsi="Times New Roman" w:cs="Times New Roman"/>
          <w:sz w:val="24"/>
          <w:szCs w:val="24"/>
          <w:lang w:val="en-US"/>
        </w:rPr>
        <w:t>, s</w:t>
      </w:r>
      <w:r w:rsidR="00745890" w:rsidRPr="003A5539">
        <w:rPr>
          <w:rFonts w:ascii="Times New Roman" w:hAnsi="Times New Roman" w:cs="Times New Roman"/>
          <w:sz w:val="24"/>
          <w:szCs w:val="24"/>
          <w:lang w:val="en-US"/>
        </w:rPr>
        <w:t>uch as the United Kingdom</w:t>
      </w:r>
      <w:r w:rsidR="00745890" w:rsidRPr="003A5539">
        <w:rPr>
          <w:rStyle w:val="Odwoanieprzypisudolnego"/>
          <w:rFonts w:ascii="Times New Roman" w:hAnsi="Times New Roman" w:cs="Times New Roman"/>
          <w:sz w:val="24"/>
          <w:szCs w:val="24"/>
          <w:lang w:val="en-US"/>
        </w:rPr>
        <w:footnoteReference w:id="19"/>
      </w:r>
      <w:r w:rsidR="00745890">
        <w:rPr>
          <w:rFonts w:ascii="Times New Roman" w:hAnsi="Times New Roman" w:cs="Times New Roman"/>
          <w:sz w:val="24"/>
          <w:szCs w:val="24"/>
          <w:lang w:val="en-US"/>
        </w:rPr>
        <w:t xml:space="preserve">. </w:t>
      </w:r>
      <w:r w:rsidR="00745890" w:rsidRPr="003A5539">
        <w:rPr>
          <w:rFonts w:ascii="Times New Roman" w:hAnsi="Times New Roman" w:cs="Times New Roman"/>
          <w:sz w:val="24"/>
          <w:szCs w:val="24"/>
          <w:lang w:val="en-US"/>
        </w:rPr>
        <w:t>Thus, UK citizens canno</w:t>
      </w:r>
      <w:r w:rsidR="005B3FA8">
        <w:rPr>
          <w:rFonts w:ascii="Times New Roman" w:hAnsi="Times New Roman" w:cs="Times New Roman"/>
          <w:sz w:val="24"/>
          <w:szCs w:val="24"/>
          <w:lang w:val="en-US"/>
        </w:rPr>
        <w:t xml:space="preserve">t bring claims for breaching </w:t>
      </w:r>
      <w:r w:rsidR="00571696">
        <w:rPr>
          <w:rFonts w:ascii="Times New Roman" w:hAnsi="Times New Roman" w:cs="Times New Roman"/>
          <w:sz w:val="24"/>
          <w:szCs w:val="24"/>
          <w:lang w:val="en-US"/>
        </w:rPr>
        <w:t>Article</w:t>
      </w:r>
      <w:r w:rsidR="005B3FA8">
        <w:rPr>
          <w:rFonts w:ascii="Times New Roman" w:hAnsi="Times New Roman" w:cs="Times New Roman"/>
          <w:sz w:val="24"/>
          <w:szCs w:val="24"/>
          <w:lang w:val="en-US"/>
        </w:rPr>
        <w:t xml:space="preserve"> </w:t>
      </w:r>
      <w:r w:rsidR="00745890" w:rsidRPr="003A5539">
        <w:rPr>
          <w:rFonts w:ascii="Times New Roman" w:hAnsi="Times New Roman" w:cs="Times New Roman"/>
          <w:sz w:val="24"/>
          <w:szCs w:val="24"/>
          <w:lang w:val="en-US"/>
        </w:rPr>
        <w:t>2 FAP before the national courts, since the United Kingdom has not ratified the Fourth Additional Protocol. In Belgium, on the contrary, an individual can bring a claim for the</w:t>
      </w:r>
      <w:r w:rsidR="005B3FA8">
        <w:rPr>
          <w:rFonts w:ascii="Times New Roman" w:hAnsi="Times New Roman" w:cs="Times New Roman"/>
          <w:sz w:val="24"/>
          <w:szCs w:val="24"/>
          <w:lang w:val="en-US"/>
        </w:rPr>
        <w:t xml:space="preserve"> national court for breaching </w:t>
      </w:r>
      <w:r w:rsidR="00571696">
        <w:rPr>
          <w:rFonts w:ascii="Times New Roman" w:hAnsi="Times New Roman" w:cs="Times New Roman"/>
          <w:sz w:val="24"/>
          <w:szCs w:val="24"/>
          <w:lang w:val="en-US"/>
        </w:rPr>
        <w:t>Article</w:t>
      </w:r>
      <w:r w:rsidR="005B3FA8">
        <w:rPr>
          <w:rFonts w:ascii="Times New Roman" w:hAnsi="Times New Roman" w:cs="Times New Roman"/>
          <w:sz w:val="24"/>
          <w:szCs w:val="24"/>
          <w:lang w:val="en-US"/>
        </w:rPr>
        <w:t xml:space="preserve"> </w:t>
      </w:r>
      <w:r w:rsidR="00745890" w:rsidRPr="003A5539">
        <w:rPr>
          <w:rFonts w:ascii="Times New Roman" w:hAnsi="Times New Roman" w:cs="Times New Roman"/>
          <w:sz w:val="24"/>
          <w:szCs w:val="24"/>
          <w:lang w:val="en-US"/>
        </w:rPr>
        <w:t>2 FAP itself, since Belgium did ratify the Fourth Additional Protocol which has direct effect in domestic law.</w:t>
      </w:r>
    </w:p>
    <w:p w14:paraId="3C6358C9" w14:textId="11D87AE4" w:rsidR="00AB0EB2" w:rsidRDefault="00745890" w:rsidP="00A5136B">
      <w:pPr>
        <w:jc w:val="both"/>
        <w:rPr>
          <w:rFonts w:ascii="Times New Roman" w:hAnsi="Times New Roman" w:cs="Times New Roman"/>
          <w:sz w:val="24"/>
          <w:szCs w:val="24"/>
          <w:lang w:val="en-US"/>
        </w:rPr>
      </w:pPr>
      <w:r w:rsidRPr="003A5539">
        <w:rPr>
          <w:rFonts w:ascii="Times New Roman" w:hAnsi="Times New Roman" w:cs="Times New Roman"/>
          <w:sz w:val="24"/>
          <w:szCs w:val="24"/>
          <w:lang w:val="en-CA"/>
        </w:rPr>
        <w:t xml:space="preserve">However, the </w:t>
      </w:r>
      <w:r w:rsidRPr="003A5539">
        <w:rPr>
          <w:rFonts w:ascii="Times New Roman" w:hAnsi="Times New Roman" w:cs="Times New Roman"/>
          <w:sz w:val="24"/>
          <w:szCs w:val="24"/>
          <w:lang w:val="en-US"/>
        </w:rPr>
        <w:t>freedom of movement is not only a fundamental right as such. It is also a fundamental precondition for the enjoyment of many other fundamental rights</w:t>
      </w:r>
      <w:r w:rsidRPr="003A5539">
        <w:rPr>
          <w:rStyle w:val="Odwoanieprzypisudolnego"/>
          <w:rFonts w:ascii="Times New Roman" w:hAnsi="Times New Roman" w:cs="Times New Roman"/>
          <w:sz w:val="24"/>
          <w:szCs w:val="24"/>
          <w:lang w:val="en-US"/>
        </w:rPr>
        <w:footnoteReference w:id="20"/>
      </w:r>
      <w:r w:rsidRPr="003A5539">
        <w:rPr>
          <w:rFonts w:ascii="Times New Roman" w:hAnsi="Times New Roman" w:cs="Times New Roman"/>
          <w:sz w:val="24"/>
          <w:szCs w:val="24"/>
          <w:lang w:val="en-US"/>
        </w:rPr>
        <w:t xml:space="preserve">. This is important for Contracting States who have not yet ratified the Fourth Additional Protocol. In </w:t>
      </w:r>
      <w:r w:rsidRPr="003A5539">
        <w:rPr>
          <w:rFonts w:ascii="Times New Roman" w:hAnsi="Times New Roman" w:cs="Times New Roman"/>
          <w:i/>
          <w:sz w:val="24"/>
          <w:szCs w:val="24"/>
          <w:lang w:val="en-US"/>
        </w:rPr>
        <w:t>Iletmis v Turkey</w:t>
      </w:r>
      <w:r w:rsidRPr="003A5539">
        <w:rPr>
          <w:rStyle w:val="Odwoanieprzypisudolnego"/>
          <w:rFonts w:ascii="Times New Roman" w:hAnsi="Times New Roman" w:cs="Times New Roman"/>
          <w:sz w:val="24"/>
          <w:szCs w:val="24"/>
          <w:lang w:val="en-US"/>
        </w:rPr>
        <w:footnoteReference w:id="21"/>
      </w:r>
      <w:r w:rsidR="002D1F31">
        <w:rPr>
          <w:rFonts w:ascii="Times New Roman" w:hAnsi="Times New Roman" w:cs="Times New Roman"/>
          <w:i/>
          <w:sz w:val="24"/>
          <w:szCs w:val="24"/>
          <w:lang w:val="en-US"/>
        </w:rPr>
        <w:t>,</w:t>
      </w:r>
      <w:r w:rsidRPr="003A5539">
        <w:rPr>
          <w:rFonts w:ascii="Times New Roman" w:hAnsi="Times New Roman" w:cs="Times New Roman"/>
          <w:sz w:val="24"/>
          <w:szCs w:val="24"/>
          <w:lang w:val="en-US"/>
        </w:rPr>
        <w:t xml:space="preserve"> the Strasbourg Court concluded that there was a violation of the applicant’s right to freedom of movement due to the fact that his passport had been withdrawn for over seven years</w:t>
      </w:r>
      <w:r w:rsidR="002D1F31">
        <w:rPr>
          <w:rFonts w:ascii="Times New Roman" w:hAnsi="Times New Roman" w:cs="Times New Roman"/>
          <w:sz w:val="24"/>
          <w:szCs w:val="24"/>
          <w:lang w:val="en-US"/>
        </w:rPr>
        <w:t>,</w:t>
      </w:r>
      <w:r w:rsidRPr="003A5539">
        <w:rPr>
          <w:rFonts w:ascii="Times New Roman" w:hAnsi="Times New Roman" w:cs="Times New Roman"/>
          <w:sz w:val="24"/>
          <w:szCs w:val="24"/>
          <w:lang w:val="en-US"/>
        </w:rPr>
        <w:t xml:space="preserve"> without taking into account the fact that he had family, economic and professional ties outside Turkey. However, Turkey had not ratified the Fourth Additional Protocol. This was, according to the </w:t>
      </w:r>
      <w:r w:rsidR="002D1F31">
        <w:rPr>
          <w:rFonts w:ascii="Times New Roman" w:hAnsi="Times New Roman" w:cs="Times New Roman"/>
          <w:sz w:val="24"/>
          <w:szCs w:val="24"/>
          <w:lang w:val="en-US"/>
        </w:rPr>
        <w:t xml:space="preserve">Strasbourg </w:t>
      </w:r>
      <w:r w:rsidR="00356503">
        <w:rPr>
          <w:rFonts w:ascii="Times New Roman" w:hAnsi="Times New Roman" w:cs="Times New Roman"/>
          <w:sz w:val="24"/>
          <w:szCs w:val="24"/>
          <w:lang w:val="en-US"/>
        </w:rPr>
        <w:t>Court, ‘</w:t>
      </w:r>
      <w:r w:rsidRPr="003A5539">
        <w:rPr>
          <w:rFonts w:ascii="Times New Roman" w:hAnsi="Times New Roman" w:cs="Times New Roman"/>
          <w:sz w:val="24"/>
          <w:szCs w:val="24"/>
          <w:lang w:val="en-US"/>
        </w:rPr>
        <w:t>irrelevant</w:t>
      </w:r>
      <w:r w:rsidR="00356503">
        <w:rPr>
          <w:rFonts w:ascii="Times New Roman" w:hAnsi="Times New Roman" w:cs="Times New Roman"/>
          <w:sz w:val="24"/>
          <w:szCs w:val="24"/>
          <w:lang w:val="en-US"/>
        </w:rPr>
        <w:t>’</w:t>
      </w:r>
      <w:r w:rsidRPr="003A5539">
        <w:rPr>
          <w:rFonts w:ascii="Times New Roman" w:hAnsi="Times New Roman" w:cs="Times New Roman"/>
          <w:sz w:val="24"/>
          <w:szCs w:val="24"/>
          <w:lang w:val="en-US"/>
        </w:rPr>
        <w:t xml:space="preserve">, as it considered the restriction on the applicant’s freedom of movement to be a breach of his right to privacy in </w:t>
      </w:r>
      <w:r w:rsidR="00571696">
        <w:rPr>
          <w:rFonts w:ascii="Times New Roman" w:hAnsi="Times New Roman" w:cs="Times New Roman"/>
          <w:sz w:val="24"/>
          <w:szCs w:val="24"/>
          <w:lang w:val="en-US"/>
        </w:rPr>
        <w:t>Article</w:t>
      </w:r>
      <w:r w:rsidRPr="003A5539">
        <w:rPr>
          <w:rFonts w:ascii="Times New Roman" w:hAnsi="Times New Roman" w:cs="Times New Roman"/>
          <w:sz w:val="24"/>
          <w:szCs w:val="24"/>
          <w:lang w:val="en-US"/>
        </w:rPr>
        <w:t xml:space="preserve"> 8 ECHR. Thus, arbitrary restrictions of the </w:t>
      </w:r>
      <w:r w:rsidR="00356503">
        <w:rPr>
          <w:rFonts w:ascii="Times New Roman" w:hAnsi="Times New Roman" w:cs="Times New Roman"/>
          <w:sz w:val="24"/>
          <w:szCs w:val="24"/>
          <w:lang w:val="en-US"/>
        </w:rPr>
        <w:t>freedom</w:t>
      </w:r>
      <w:r w:rsidRPr="003A5539">
        <w:rPr>
          <w:rFonts w:ascii="Times New Roman" w:hAnsi="Times New Roman" w:cs="Times New Roman"/>
          <w:sz w:val="24"/>
          <w:szCs w:val="24"/>
          <w:lang w:val="en-US"/>
        </w:rPr>
        <w:t xml:space="preserve"> of movement may also interfere with other fundamental righ</w:t>
      </w:r>
      <w:r w:rsidR="00356503">
        <w:rPr>
          <w:rFonts w:ascii="Times New Roman" w:hAnsi="Times New Roman" w:cs="Times New Roman"/>
          <w:sz w:val="24"/>
          <w:szCs w:val="24"/>
          <w:lang w:val="en-US"/>
        </w:rPr>
        <w:t>ts such as the right to privacy</w:t>
      </w:r>
      <w:r w:rsidRPr="003A5539">
        <w:rPr>
          <w:rFonts w:ascii="Times New Roman" w:hAnsi="Times New Roman" w:cs="Times New Roman"/>
          <w:sz w:val="24"/>
          <w:szCs w:val="24"/>
          <w:lang w:val="en-US"/>
        </w:rPr>
        <w:t xml:space="preserve">, but also the right to freedom of expression and the right to freedom of assembly and association, enshrined in </w:t>
      </w:r>
      <w:r w:rsidR="00571696">
        <w:rPr>
          <w:rFonts w:ascii="Times New Roman" w:hAnsi="Times New Roman" w:cs="Times New Roman"/>
          <w:sz w:val="24"/>
          <w:szCs w:val="24"/>
          <w:lang w:val="en-US"/>
        </w:rPr>
        <w:t>Article</w:t>
      </w:r>
      <w:r w:rsidRPr="003A5539">
        <w:rPr>
          <w:rFonts w:ascii="Times New Roman" w:hAnsi="Times New Roman" w:cs="Times New Roman"/>
          <w:sz w:val="24"/>
          <w:szCs w:val="24"/>
          <w:lang w:val="en-US"/>
        </w:rPr>
        <w:t xml:space="preserve"> 10 </w:t>
      </w:r>
      <w:r w:rsidRPr="00222BDA">
        <w:rPr>
          <w:rFonts w:ascii="Times New Roman" w:hAnsi="Times New Roman" w:cs="Times New Roman"/>
          <w:sz w:val="24"/>
          <w:szCs w:val="24"/>
          <w:lang w:val="en-US"/>
        </w:rPr>
        <w:t>and 11 ECHR, respectively.</w:t>
      </w:r>
      <w:r w:rsidR="00222BDA" w:rsidRPr="00222BDA">
        <w:rPr>
          <w:rFonts w:ascii="Times New Roman" w:hAnsi="Times New Roman" w:cs="Times New Roman"/>
          <w:sz w:val="24"/>
          <w:szCs w:val="24"/>
          <w:lang w:val="en-US"/>
        </w:rPr>
        <w:t xml:space="preserve"> </w:t>
      </w:r>
      <w:r w:rsidR="00222BDA" w:rsidRPr="00222BDA">
        <w:rPr>
          <w:rFonts w:ascii="Times New Roman" w:hAnsi="Times New Roman" w:cs="Times New Roman"/>
          <w:sz w:val="24"/>
          <w:szCs w:val="24"/>
          <w:lang w:val="en-CA"/>
        </w:rPr>
        <w:t xml:space="preserve">By consequence, </w:t>
      </w:r>
      <w:r w:rsidR="00222BDA" w:rsidRPr="00222BDA">
        <w:rPr>
          <w:rFonts w:ascii="Times New Roman" w:hAnsi="Times New Roman" w:cs="Times New Roman"/>
          <w:sz w:val="24"/>
          <w:szCs w:val="24"/>
          <w:lang w:val="en-US"/>
        </w:rPr>
        <w:t xml:space="preserve">UK citizens can bring claims for breaching the </w:t>
      </w:r>
      <w:r w:rsidR="00222BDA">
        <w:rPr>
          <w:rFonts w:ascii="Times New Roman" w:hAnsi="Times New Roman" w:cs="Times New Roman"/>
          <w:sz w:val="24"/>
          <w:szCs w:val="24"/>
          <w:lang w:val="en-US"/>
        </w:rPr>
        <w:t xml:space="preserve">right to </w:t>
      </w:r>
      <w:r w:rsidR="00222BDA" w:rsidRPr="00222BDA">
        <w:rPr>
          <w:rFonts w:ascii="Times New Roman" w:hAnsi="Times New Roman" w:cs="Times New Roman"/>
          <w:sz w:val="24"/>
          <w:szCs w:val="24"/>
          <w:lang w:val="en-US"/>
        </w:rPr>
        <w:t>freedom of movement before the national court based on other Convention rights</w:t>
      </w:r>
      <w:r w:rsidR="00222BDA">
        <w:rPr>
          <w:rFonts w:ascii="Times New Roman" w:hAnsi="Times New Roman" w:cs="Times New Roman"/>
          <w:sz w:val="24"/>
          <w:szCs w:val="24"/>
          <w:lang w:val="en-US"/>
        </w:rPr>
        <w:t>,</w:t>
      </w:r>
      <w:r w:rsidR="00222BDA" w:rsidRPr="00222BDA">
        <w:rPr>
          <w:rFonts w:ascii="Times New Roman" w:hAnsi="Times New Roman" w:cs="Times New Roman"/>
          <w:sz w:val="24"/>
          <w:szCs w:val="24"/>
          <w:lang w:val="en-US"/>
        </w:rPr>
        <w:t xml:space="preserve"> such as </w:t>
      </w:r>
      <w:r w:rsidR="002719D3">
        <w:rPr>
          <w:rFonts w:ascii="Times New Roman" w:hAnsi="Times New Roman" w:cs="Times New Roman"/>
          <w:sz w:val="24"/>
          <w:szCs w:val="24"/>
          <w:lang w:val="en-US"/>
        </w:rPr>
        <w:t xml:space="preserve">Articles </w:t>
      </w:r>
      <w:r w:rsidR="00222BDA" w:rsidRPr="00222BDA">
        <w:rPr>
          <w:rFonts w:ascii="Times New Roman" w:hAnsi="Times New Roman" w:cs="Times New Roman"/>
          <w:sz w:val="24"/>
          <w:szCs w:val="24"/>
          <w:lang w:val="en-US"/>
        </w:rPr>
        <w:t>8, 10 and 11</w:t>
      </w:r>
      <w:r w:rsidR="00DD08B8">
        <w:rPr>
          <w:rFonts w:ascii="Times New Roman" w:hAnsi="Times New Roman" w:cs="Times New Roman"/>
          <w:sz w:val="24"/>
          <w:szCs w:val="24"/>
          <w:lang w:val="en-US"/>
        </w:rPr>
        <w:t>, provided that the limitations on the freedom of movement amount to limitations to any of these rights</w:t>
      </w:r>
      <w:r w:rsidR="00222BDA" w:rsidRPr="00222BDA">
        <w:rPr>
          <w:rFonts w:ascii="Times New Roman" w:hAnsi="Times New Roman" w:cs="Times New Roman"/>
          <w:sz w:val="24"/>
          <w:szCs w:val="24"/>
          <w:lang w:val="en-US"/>
        </w:rPr>
        <w:t>.</w:t>
      </w:r>
      <w:r w:rsidR="00CF7511">
        <w:rPr>
          <w:rFonts w:ascii="Times New Roman" w:hAnsi="Times New Roman" w:cs="Times New Roman"/>
          <w:sz w:val="24"/>
          <w:szCs w:val="24"/>
          <w:lang w:val="en-US"/>
        </w:rPr>
        <w:t xml:space="preserve"> </w:t>
      </w:r>
    </w:p>
    <w:p w14:paraId="4C1216AD" w14:textId="4C57075E" w:rsidR="000E6894" w:rsidRDefault="000254C2" w:rsidP="00745890">
      <w:pPr>
        <w:jc w:val="both"/>
        <w:rPr>
          <w:rFonts w:ascii="Times New Roman" w:hAnsi="Times New Roman" w:cs="Times New Roman"/>
          <w:sz w:val="24"/>
          <w:szCs w:val="24"/>
          <w:lang w:val="en-US"/>
        </w:rPr>
      </w:pPr>
      <w:r>
        <w:rPr>
          <w:rFonts w:ascii="Times New Roman" w:hAnsi="Times New Roman" w:cs="Times New Roman"/>
          <w:sz w:val="24"/>
          <w:szCs w:val="24"/>
          <w:lang w:val="en-CA"/>
        </w:rPr>
        <w:t>T</w:t>
      </w:r>
      <w:r w:rsidR="00222BDA" w:rsidRPr="00CF5A37">
        <w:rPr>
          <w:rFonts w:ascii="Times New Roman" w:hAnsi="Times New Roman" w:cs="Times New Roman"/>
          <w:sz w:val="24"/>
          <w:szCs w:val="24"/>
          <w:lang w:val="en-CA"/>
        </w:rPr>
        <w:t xml:space="preserve">he question </w:t>
      </w:r>
      <w:r w:rsidR="003A71D5" w:rsidRPr="003A71D5">
        <w:rPr>
          <w:rFonts w:ascii="Times New Roman" w:hAnsi="Times New Roman" w:cs="Times New Roman"/>
          <w:sz w:val="24"/>
          <w:szCs w:val="24"/>
          <w:lang w:val="en-CA"/>
        </w:rPr>
        <w:t>a</w:t>
      </w:r>
      <w:r w:rsidR="00222BDA" w:rsidRPr="003A71D5">
        <w:rPr>
          <w:rFonts w:ascii="Times New Roman" w:hAnsi="Times New Roman" w:cs="Times New Roman"/>
          <w:sz w:val="24"/>
          <w:szCs w:val="24"/>
          <w:lang w:val="en-CA"/>
        </w:rPr>
        <w:t>rises</w:t>
      </w:r>
      <w:r w:rsidR="00222BDA" w:rsidRPr="00CF5A37">
        <w:rPr>
          <w:rFonts w:ascii="Times New Roman" w:hAnsi="Times New Roman" w:cs="Times New Roman"/>
          <w:sz w:val="24"/>
          <w:szCs w:val="24"/>
          <w:lang w:val="en-CA"/>
        </w:rPr>
        <w:t xml:space="preserve"> under what conditions</w:t>
      </w:r>
      <w:r>
        <w:rPr>
          <w:rFonts w:ascii="Times New Roman" w:hAnsi="Times New Roman" w:cs="Times New Roman"/>
          <w:sz w:val="24"/>
          <w:szCs w:val="24"/>
          <w:lang w:val="en-CA"/>
        </w:rPr>
        <w:t xml:space="preserve"> </w:t>
      </w:r>
      <w:r w:rsidR="00356503">
        <w:rPr>
          <w:rFonts w:ascii="Times New Roman" w:hAnsi="Times New Roman" w:cs="Times New Roman"/>
          <w:sz w:val="24"/>
          <w:szCs w:val="24"/>
          <w:lang w:val="en-CA"/>
        </w:rPr>
        <w:t xml:space="preserve">freedom-restricting </w:t>
      </w:r>
      <w:r w:rsidR="00222BDA" w:rsidRPr="00CF5A37">
        <w:rPr>
          <w:rFonts w:ascii="Times New Roman" w:hAnsi="Times New Roman" w:cs="Times New Roman"/>
          <w:color w:val="000000"/>
          <w:sz w:val="24"/>
          <w:szCs w:val="24"/>
          <w:lang w:val="en-CA"/>
        </w:rPr>
        <w:t xml:space="preserve">public order powers are compatible with </w:t>
      </w:r>
      <w:r w:rsidR="00CF7511">
        <w:rPr>
          <w:rFonts w:ascii="Times New Roman" w:hAnsi="Times New Roman" w:cs="Times New Roman"/>
          <w:color w:val="000000"/>
          <w:sz w:val="24"/>
          <w:szCs w:val="24"/>
          <w:lang w:val="en-CA"/>
        </w:rPr>
        <w:t xml:space="preserve">the </w:t>
      </w:r>
      <w:r w:rsidRPr="00CF5A37">
        <w:rPr>
          <w:rFonts w:ascii="Times New Roman" w:hAnsi="Times New Roman" w:cs="Times New Roman"/>
          <w:color w:val="000000"/>
          <w:sz w:val="24"/>
          <w:szCs w:val="24"/>
          <w:lang w:val="en-CA"/>
        </w:rPr>
        <w:t xml:space="preserve">aforementioned </w:t>
      </w:r>
      <w:r w:rsidR="00356503">
        <w:rPr>
          <w:rFonts w:ascii="Times New Roman" w:hAnsi="Times New Roman" w:cs="Times New Roman"/>
          <w:color w:val="000000"/>
          <w:sz w:val="24"/>
          <w:szCs w:val="24"/>
          <w:lang w:val="en-CA"/>
        </w:rPr>
        <w:t>fundamental</w:t>
      </w:r>
      <w:r w:rsidR="00CF7511">
        <w:rPr>
          <w:rFonts w:ascii="Times New Roman" w:hAnsi="Times New Roman" w:cs="Times New Roman"/>
          <w:color w:val="000000"/>
          <w:sz w:val="24"/>
          <w:szCs w:val="24"/>
          <w:lang w:val="en-CA"/>
        </w:rPr>
        <w:t xml:space="preserve"> rights</w:t>
      </w:r>
      <w:r w:rsidR="006009C5">
        <w:rPr>
          <w:rFonts w:ascii="Times New Roman" w:hAnsi="Times New Roman" w:cs="Times New Roman"/>
          <w:color w:val="000000"/>
          <w:sz w:val="24"/>
          <w:szCs w:val="24"/>
          <w:lang w:val="en-CA"/>
        </w:rPr>
        <w:t xml:space="preserve"> and freedoms</w:t>
      </w:r>
      <w:r w:rsidR="00222BDA" w:rsidRPr="00CF5A37">
        <w:rPr>
          <w:rFonts w:ascii="Times New Roman" w:hAnsi="Times New Roman" w:cs="Times New Roman"/>
          <w:color w:val="000000"/>
          <w:sz w:val="24"/>
          <w:szCs w:val="24"/>
          <w:lang w:val="en-CA"/>
        </w:rPr>
        <w:t>.</w:t>
      </w:r>
      <w:r w:rsidR="006C4404">
        <w:rPr>
          <w:rFonts w:ascii="Times New Roman" w:hAnsi="Times New Roman" w:cs="Times New Roman"/>
          <w:color w:val="000000"/>
          <w:sz w:val="24"/>
          <w:szCs w:val="24"/>
          <w:lang w:val="en-CA"/>
        </w:rPr>
        <w:t xml:space="preserve"> T</w:t>
      </w:r>
      <w:r w:rsidR="00356503">
        <w:rPr>
          <w:rFonts w:ascii="Times New Roman" w:hAnsi="Times New Roman" w:cs="Times New Roman"/>
          <w:color w:val="000000"/>
          <w:sz w:val="24"/>
          <w:szCs w:val="24"/>
          <w:lang w:val="en-CA"/>
        </w:rPr>
        <w:t xml:space="preserve">his question is not an easy one to answer. </w:t>
      </w:r>
      <w:r w:rsidR="003C7803">
        <w:rPr>
          <w:rFonts w:ascii="Times New Roman" w:hAnsi="Times New Roman" w:cs="Times New Roman"/>
          <w:color w:val="000000"/>
          <w:sz w:val="24"/>
          <w:szCs w:val="24"/>
          <w:lang w:val="en-CA"/>
        </w:rPr>
        <w:t>After all, t</w:t>
      </w:r>
      <w:r w:rsidR="00BF4269" w:rsidRPr="00CF5A37">
        <w:rPr>
          <w:rFonts w:ascii="Times New Roman" w:hAnsi="Times New Roman" w:cs="Times New Roman"/>
          <w:color w:val="000000"/>
          <w:sz w:val="24"/>
          <w:szCs w:val="24"/>
          <w:lang w:val="en-CA"/>
        </w:rPr>
        <w:t xml:space="preserve">here is </w:t>
      </w:r>
      <w:r w:rsidR="00BF4269" w:rsidRPr="00786439">
        <w:rPr>
          <w:rFonts w:ascii="Times New Roman" w:hAnsi="Times New Roman" w:cs="Times New Roman"/>
          <w:color w:val="000000"/>
          <w:sz w:val="24"/>
          <w:szCs w:val="24"/>
          <w:lang w:val="en-CA"/>
        </w:rPr>
        <w:t>no clear</w:t>
      </w:r>
      <w:r w:rsidRPr="00786439">
        <w:rPr>
          <w:rFonts w:ascii="Times New Roman" w:hAnsi="Times New Roman" w:cs="Times New Roman"/>
          <w:color w:val="000000"/>
          <w:sz w:val="24"/>
          <w:szCs w:val="24"/>
          <w:lang w:val="en-CA"/>
        </w:rPr>
        <w:t xml:space="preserve"> and</w:t>
      </w:r>
      <w:r w:rsidR="00BF4269" w:rsidRPr="00786439">
        <w:rPr>
          <w:rFonts w:ascii="Times New Roman" w:hAnsi="Times New Roman" w:cs="Times New Roman"/>
          <w:color w:val="000000"/>
          <w:sz w:val="24"/>
          <w:szCs w:val="24"/>
          <w:lang w:val="en-CA"/>
        </w:rPr>
        <w:t xml:space="preserve"> general assessment framework</w:t>
      </w:r>
      <w:r w:rsidR="00BF4269" w:rsidRPr="00CF5A37">
        <w:rPr>
          <w:rFonts w:ascii="Times New Roman" w:hAnsi="Times New Roman" w:cs="Times New Roman"/>
          <w:color w:val="000000"/>
          <w:sz w:val="24"/>
          <w:szCs w:val="24"/>
          <w:lang w:val="en-CA"/>
        </w:rPr>
        <w:t xml:space="preserve"> for </w:t>
      </w:r>
      <w:r>
        <w:rPr>
          <w:rFonts w:ascii="Times New Roman" w:hAnsi="Times New Roman" w:cs="Times New Roman"/>
          <w:color w:val="000000"/>
          <w:sz w:val="24"/>
          <w:szCs w:val="24"/>
          <w:lang w:val="en-CA"/>
        </w:rPr>
        <w:t>freedom-restricting measures imposed to maintain public order</w:t>
      </w:r>
      <w:r w:rsidR="00BF4269" w:rsidRPr="00CF5A37">
        <w:rPr>
          <w:rFonts w:ascii="Times New Roman" w:hAnsi="Times New Roman" w:cs="Times New Roman"/>
          <w:color w:val="000000"/>
          <w:sz w:val="24"/>
          <w:szCs w:val="24"/>
          <w:lang w:val="en-CA"/>
        </w:rPr>
        <w:t xml:space="preserve">, in particular at the </w:t>
      </w:r>
      <w:r w:rsidR="006009C5">
        <w:rPr>
          <w:rFonts w:ascii="Times New Roman" w:hAnsi="Times New Roman" w:cs="Times New Roman"/>
          <w:color w:val="000000"/>
          <w:sz w:val="24"/>
          <w:szCs w:val="24"/>
          <w:lang w:val="en-CA"/>
        </w:rPr>
        <w:t xml:space="preserve">European </w:t>
      </w:r>
      <w:r w:rsidR="006009C5">
        <w:rPr>
          <w:rFonts w:ascii="Times New Roman" w:hAnsi="Times New Roman" w:cs="Times New Roman"/>
          <w:color w:val="000000"/>
          <w:sz w:val="24"/>
          <w:szCs w:val="24"/>
          <w:lang w:val="en-CA"/>
        </w:rPr>
        <w:lastRenderedPageBreak/>
        <w:t xml:space="preserve">human rights </w:t>
      </w:r>
      <w:r w:rsidR="00BF4269" w:rsidRPr="00CF5A37">
        <w:rPr>
          <w:rFonts w:ascii="Times New Roman" w:hAnsi="Times New Roman" w:cs="Times New Roman"/>
          <w:color w:val="000000"/>
          <w:sz w:val="24"/>
          <w:szCs w:val="24"/>
          <w:lang w:val="en-CA"/>
        </w:rPr>
        <w:t>level.</w:t>
      </w:r>
      <w:r w:rsidR="006009C5">
        <w:rPr>
          <w:rFonts w:ascii="Times New Roman" w:hAnsi="Times New Roman" w:cs="Times New Roman"/>
          <w:color w:val="000000"/>
          <w:sz w:val="24"/>
          <w:szCs w:val="24"/>
          <w:lang w:val="en-CA"/>
        </w:rPr>
        <w:t xml:space="preserve"> </w:t>
      </w:r>
      <w:r w:rsidR="008C645E">
        <w:rPr>
          <w:rFonts w:ascii="Times New Roman" w:hAnsi="Times New Roman" w:cs="Times New Roman"/>
          <w:color w:val="000000"/>
          <w:sz w:val="24"/>
          <w:szCs w:val="24"/>
          <w:lang w:val="en-CA"/>
        </w:rPr>
        <w:t>This has two main causes</w:t>
      </w:r>
      <w:r w:rsidR="006009C5">
        <w:rPr>
          <w:rFonts w:ascii="Times New Roman" w:hAnsi="Times New Roman" w:cs="Times New Roman"/>
          <w:color w:val="000000"/>
          <w:sz w:val="24"/>
          <w:szCs w:val="24"/>
          <w:lang w:val="en-CA"/>
        </w:rPr>
        <w:t>.</w:t>
      </w:r>
      <w:r w:rsidR="00BF4269" w:rsidRPr="00CF5A37">
        <w:rPr>
          <w:rFonts w:ascii="Times New Roman" w:hAnsi="Times New Roman" w:cs="Times New Roman"/>
          <w:color w:val="000000"/>
          <w:sz w:val="24"/>
          <w:szCs w:val="24"/>
          <w:lang w:val="en-CA"/>
        </w:rPr>
        <w:t xml:space="preserve"> </w:t>
      </w:r>
      <w:r w:rsidR="00CF7511">
        <w:rPr>
          <w:rFonts w:ascii="Times New Roman" w:hAnsi="Times New Roman" w:cs="Times New Roman"/>
          <w:color w:val="000000"/>
          <w:sz w:val="24"/>
          <w:szCs w:val="24"/>
          <w:lang w:val="en-CA"/>
        </w:rPr>
        <w:t>First, a</w:t>
      </w:r>
      <w:r w:rsidR="00BF4269" w:rsidRPr="00CF5A37">
        <w:rPr>
          <w:rFonts w:ascii="Times New Roman" w:hAnsi="Times New Roman" w:cs="Times New Roman"/>
          <w:color w:val="000000"/>
          <w:sz w:val="24"/>
          <w:szCs w:val="24"/>
          <w:lang w:val="en-CA"/>
        </w:rPr>
        <w:t xml:space="preserve">s the above indicates, the ECHR distinguishes between restrictions on the individual’s free movement and the deprivation of all liberty. However, the boundary between these ‘mere’ restrictions and the more severe deprivation of all liberty is not always clear. Nevertheless, this distinction has important consequences, since the restriction grounds </w:t>
      </w:r>
      <w:r w:rsidR="00786439">
        <w:rPr>
          <w:rFonts w:ascii="Times New Roman" w:hAnsi="Times New Roman" w:cs="Times New Roman"/>
          <w:color w:val="000000"/>
          <w:sz w:val="24"/>
          <w:szCs w:val="24"/>
          <w:lang w:val="en-CA"/>
        </w:rPr>
        <w:t>are very different</w:t>
      </w:r>
      <w:r w:rsidR="006009C5">
        <w:rPr>
          <w:rFonts w:ascii="Times New Roman" w:hAnsi="Times New Roman" w:cs="Times New Roman"/>
          <w:color w:val="000000"/>
          <w:sz w:val="24"/>
          <w:szCs w:val="24"/>
          <w:lang w:val="en-CA"/>
        </w:rPr>
        <w:t xml:space="preserve">. A </w:t>
      </w:r>
      <w:r w:rsidR="00BF4269" w:rsidRPr="00CF5A37">
        <w:rPr>
          <w:rFonts w:ascii="Times New Roman" w:hAnsi="Times New Roman" w:cs="Times New Roman"/>
          <w:color w:val="000000"/>
          <w:sz w:val="24"/>
          <w:szCs w:val="24"/>
          <w:lang w:val="en-CA"/>
        </w:rPr>
        <w:t>deprivation of all liberty is only possible in a limited number of cases listed</w:t>
      </w:r>
      <w:r w:rsidR="00CF5A37">
        <w:rPr>
          <w:rFonts w:ascii="Times New Roman" w:hAnsi="Times New Roman" w:cs="Times New Roman"/>
          <w:color w:val="000000"/>
          <w:sz w:val="24"/>
          <w:szCs w:val="24"/>
          <w:lang w:val="en-CA"/>
        </w:rPr>
        <w:t xml:space="preserve"> in </w:t>
      </w:r>
      <w:r w:rsidR="00571696">
        <w:rPr>
          <w:rFonts w:ascii="Times New Roman" w:hAnsi="Times New Roman" w:cs="Times New Roman"/>
          <w:color w:val="000000"/>
          <w:sz w:val="24"/>
          <w:szCs w:val="24"/>
          <w:lang w:val="en-CA"/>
        </w:rPr>
        <w:t>Article</w:t>
      </w:r>
      <w:r w:rsidR="00CF5A37">
        <w:rPr>
          <w:rFonts w:ascii="Times New Roman" w:hAnsi="Times New Roman" w:cs="Times New Roman"/>
          <w:color w:val="000000"/>
          <w:sz w:val="24"/>
          <w:szCs w:val="24"/>
          <w:lang w:val="en-CA"/>
        </w:rPr>
        <w:t xml:space="preserve"> 5(1) ECHR</w:t>
      </w:r>
      <w:r w:rsidR="00BF4269" w:rsidRPr="00CF5A37">
        <w:rPr>
          <w:rFonts w:ascii="Times New Roman" w:hAnsi="Times New Roman" w:cs="Times New Roman"/>
          <w:color w:val="000000"/>
          <w:sz w:val="24"/>
          <w:szCs w:val="24"/>
          <w:lang w:val="en-CA"/>
        </w:rPr>
        <w:t>, whereas</w:t>
      </w:r>
      <w:r w:rsidR="00CF5A37">
        <w:rPr>
          <w:rFonts w:ascii="Times New Roman" w:hAnsi="Times New Roman" w:cs="Times New Roman"/>
          <w:color w:val="000000"/>
          <w:sz w:val="24"/>
          <w:szCs w:val="24"/>
          <w:lang w:val="en-CA"/>
        </w:rPr>
        <w:t xml:space="preserve"> a</w:t>
      </w:r>
      <w:r w:rsidR="00BF4269" w:rsidRPr="00CF5A37">
        <w:rPr>
          <w:rFonts w:ascii="Times New Roman" w:hAnsi="Times New Roman" w:cs="Times New Roman"/>
          <w:color w:val="000000"/>
          <w:sz w:val="24"/>
          <w:szCs w:val="24"/>
          <w:lang w:val="en-CA"/>
        </w:rPr>
        <w:t xml:space="preserve"> restriction on the </w:t>
      </w:r>
      <w:r w:rsidR="00CF5A37">
        <w:rPr>
          <w:rFonts w:ascii="Times New Roman" w:hAnsi="Times New Roman" w:cs="Times New Roman"/>
          <w:color w:val="000000"/>
          <w:sz w:val="24"/>
          <w:szCs w:val="24"/>
          <w:lang w:val="en-CA"/>
        </w:rPr>
        <w:t>individual’s free</w:t>
      </w:r>
      <w:r w:rsidR="00BF4269" w:rsidRPr="00CF5A37">
        <w:rPr>
          <w:rFonts w:ascii="Times New Roman" w:hAnsi="Times New Roman" w:cs="Times New Roman"/>
          <w:color w:val="000000"/>
          <w:sz w:val="24"/>
          <w:szCs w:val="24"/>
          <w:lang w:val="en-CA"/>
        </w:rPr>
        <w:t xml:space="preserve"> movement is already possible </w:t>
      </w:r>
      <w:r w:rsidR="00CF5A37">
        <w:rPr>
          <w:rFonts w:ascii="Times New Roman" w:hAnsi="Times New Roman" w:cs="Times New Roman"/>
          <w:color w:val="000000"/>
          <w:sz w:val="24"/>
          <w:szCs w:val="24"/>
          <w:lang w:val="en-CA"/>
        </w:rPr>
        <w:t xml:space="preserve">according to </w:t>
      </w:r>
      <w:r w:rsidR="00571696">
        <w:rPr>
          <w:rFonts w:ascii="Times New Roman" w:hAnsi="Times New Roman" w:cs="Times New Roman"/>
          <w:color w:val="000000"/>
          <w:sz w:val="24"/>
          <w:szCs w:val="24"/>
          <w:lang w:val="en-CA"/>
        </w:rPr>
        <w:t>Article</w:t>
      </w:r>
      <w:r w:rsidR="00CF5A37">
        <w:rPr>
          <w:rFonts w:ascii="Times New Roman" w:hAnsi="Times New Roman" w:cs="Times New Roman"/>
          <w:color w:val="000000"/>
          <w:sz w:val="24"/>
          <w:szCs w:val="24"/>
          <w:lang w:val="en-CA"/>
        </w:rPr>
        <w:t xml:space="preserve"> 2</w:t>
      </w:r>
      <w:r>
        <w:rPr>
          <w:rFonts w:ascii="Times New Roman" w:hAnsi="Times New Roman" w:cs="Times New Roman"/>
          <w:color w:val="000000"/>
          <w:sz w:val="24"/>
          <w:szCs w:val="24"/>
          <w:lang w:val="en-CA"/>
        </w:rPr>
        <w:t>(3)</w:t>
      </w:r>
      <w:r w:rsidR="00CF5A37">
        <w:rPr>
          <w:rFonts w:ascii="Times New Roman" w:hAnsi="Times New Roman" w:cs="Times New Roman"/>
          <w:color w:val="000000"/>
          <w:sz w:val="24"/>
          <w:szCs w:val="24"/>
          <w:lang w:val="en-CA"/>
        </w:rPr>
        <w:t xml:space="preserve"> FAP </w:t>
      </w:r>
      <w:r w:rsidR="00BF4269" w:rsidRPr="00CF5A37">
        <w:rPr>
          <w:rFonts w:ascii="Times New Roman" w:hAnsi="Times New Roman" w:cs="Times New Roman"/>
          <w:color w:val="000000"/>
          <w:sz w:val="24"/>
          <w:szCs w:val="24"/>
          <w:lang w:val="en-CA"/>
        </w:rPr>
        <w:t xml:space="preserve">when the restriction is </w:t>
      </w:r>
      <w:r w:rsidR="00745890" w:rsidRPr="00CF5A37">
        <w:rPr>
          <w:rFonts w:ascii="Times New Roman" w:hAnsi="Times New Roman" w:cs="Times New Roman"/>
          <w:sz w:val="24"/>
          <w:szCs w:val="24"/>
          <w:lang w:val="en-CA"/>
        </w:rPr>
        <w:t xml:space="preserve">in accordance with the standard </w:t>
      </w:r>
      <w:r w:rsidR="00BF4269" w:rsidRPr="00CF5A37">
        <w:rPr>
          <w:rFonts w:ascii="Times New Roman" w:hAnsi="Times New Roman" w:cs="Times New Roman"/>
          <w:sz w:val="24"/>
          <w:szCs w:val="24"/>
          <w:lang w:val="en-CA"/>
        </w:rPr>
        <w:t xml:space="preserve">restriction </w:t>
      </w:r>
      <w:r w:rsidR="00745890" w:rsidRPr="00CF5A37">
        <w:rPr>
          <w:rFonts w:ascii="Times New Roman" w:hAnsi="Times New Roman" w:cs="Times New Roman"/>
          <w:sz w:val="24"/>
          <w:szCs w:val="24"/>
          <w:lang w:val="en-CA"/>
        </w:rPr>
        <w:t>requirements</w:t>
      </w:r>
      <w:r w:rsidR="00786439">
        <w:rPr>
          <w:rFonts w:ascii="Times New Roman" w:hAnsi="Times New Roman" w:cs="Times New Roman"/>
          <w:sz w:val="24"/>
          <w:szCs w:val="24"/>
          <w:lang w:val="en-CA"/>
        </w:rPr>
        <w:t>.</w:t>
      </w:r>
      <w:r w:rsidR="006009C5">
        <w:rPr>
          <w:rFonts w:ascii="Times New Roman" w:hAnsi="Times New Roman" w:cs="Times New Roman"/>
          <w:sz w:val="24"/>
          <w:szCs w:val="24"/>
          <w:lang w:val="en-CA"/>
        </w:rPr>
        <w:t xml:space="preserve"> These are, f</w:t>
      </w:r>
      <w:r w:rsidR="00786439">
        <w:rPr>
          <w:rFonts w:ascii="Times New Roman" w:hAnsi="Times New Roman" w:cs="Times New Roman"/>
          <w:sz w:val="24"/>
          <w:szCs w:val="24"/>
          <w:lang w:val="en-CA"/>
        </w:rPr>
        <w:t>irst,</w:t>
      </w:r>
      <w:r w:rsidR="00CF5A37">
        <w:rPr>
          <w:rFonts w:ascii="Times New Roman" w:hAnsi="Times New Roman" w:cs="Times New Roman"/>
          <w:sz w:val="24"/>
          <w:szCs w:val="24"/>
          <w:lang w:val="en-CA"/>
        </w:rPr>
        <w:t xml:space="preserve"> </w:t>
      </w:r>
      <w:r w:rsidR="006009C5">
        <w:rPr>
          <w:rFonts w:ascii="Times New Roman" w:hAnsi="Times New Roman" w:cs="Times New Roman"/>
          <w:sz w:val="24"/>
          <w:szCs w:val="24"/>
          <w:lang w:val="en-CA"/>
        </w:rPr>
        <w:t xml:space="preserve">that the </w:t>
      </w:r>
      <w:r w:rsidR="00CF5A37">
        <w:rPr>
          <w:rFonts w:ascii="Times New Roman" w:hAnsi="Times New Roman" w:cs="Times New Roman"/>
          <w:sz w:val="24"/>
          <w:szCs w:val="24"/>
          <w:lang w:val="en-CA"/>
        </w:rPr>
        <w:t>restriction must be</w:t>
      </w:r>
      <w:r w:rsidR="00745890" w:rsidRPr="00CF5A37">
        <w:rPr>
          <w:rFonts w:ascii="Times New Roman" w:hAnsi="Times New Roman" w:cs="Times New Roman"/>
          <w:sz w:val="24"/>
          <w:szCs w:val="24"/>
          <w:lang w:val="en-CA"/>
        </w:rPr>
        <w:t xml:space="preserve"> ‘</w:t>
      </w:r>
      <w:r w:rsidR="00786439">
        <w:rPr>
          <w:rFonts w:ascii="Times New Roman" w:hAnsi="Times New Roman" w:cs="Times New Roman"/>
          <w:sz w:val="24"/>
          <w:szCs w:val="24"/>
          <w:lang w:val="en-US"/>
        </w:rPr>
        <w:t xml:space="preserve">prescribed by law’, </w:t>
      </w:r>
      <w:r w:rsidR="00745890" w:rsidRPr="00CF5A37">
        <w:rPr>
          <w:rFonts w:ascii="Times New Roman" w:hAnsi="Times New Roman" w:cs="Times New Roman"/>
          <w:sz w:val="24"/>
          <w:szCs w:val="24"/>
          <w:lang w:val="en-US"/>
        </w:rPr>
        <w:t xml:space="preserve">i.e. </w:t>
      </w:r>
      <w:r w:rsidR="00CF5A37">
        <w:rPr>
          <w:rFonts w:ascii="Times New Roman" w:hAnsi="Times New Roman" w:cs="Times New Roman"/>
          <w:sz w:val="24"/>
          <w:szCs w:val="24"/>
          <w:lang w:val="en-US"/>
        </w:rPr>
        <w:t>having</w:t>
      </w:r>
      <w:r w:rsidR="00745890" w:rsidRPr="00CF5A37">
        <w:rPr>
          <w:rFonts w:ascii="Times New Roman" w:hAnsi="Times New Roman" w:cs="Times New Roman"/>
          <w:sz w:val="24"/>
          <w:szCs w:val="24"/>
          <w:lang w:val="en-US"/>
        </w:rPr>
        <w:t xml:space="preserve"> a basis in national law</w:t>
      </w:r>
      <w:r w:rsidR="00786439">
        <w:rPr>
          <w:rFonts w:ascii="Times New Roman" w:hAnsi="Times New Roman" w:cs="Times New Roman"/>
          <w:sz w:val="24"/>
          <w:szCs w:val="24"/>
          <w:lang w:val="en-US"/>
        </w:rPr>
        <w:t>. Second, it must</w:t>
      </w:r>
      <w:r w:rsidR="00745890" w:rsidRPr="00CF5A37">
        <w:rPr>
          <w:rFonts w:ascii="Times New Roman" w:hAnsi="Times New Roman" w:cs="Times New Roman"/>
          <w:sz w:val="24"/>
          <w:szCs w:val="24"/>
          <w:lang w:val="en-US"/>
        </w:rPr>
        <w:t xml:space="preserve"> </w:t>
      </w:r>
      <w:r w:rsidR="00CF5A37">
        <w:rPr>
          <w:rFonts w:ascii="Times New Roman" w:hAnsi="Times New Roman" w:cs="Times New Roman"/>
          <w:sz w:val="24"/>
          <w:szCs w:val="24"/>
          <w:lang w:val="en-US"/>
        </w:rPr>
        <w:t>pursue</w:t>
      </w:r>
      <w:r w:rsidR="00786439">
        <w:rPr>
          <w:rFonts w:ascii="Times New Roman" w:hAnsi="Times New Roman" w:cs="Times New Roman"/>
          <w:sz w:val="24"/>
          <w:szCs w:val="24"/>
          <w:lang w:val="en-US"/>
        </w:rPr>
        <w:t xml:space="preserve"> ‘a legitimate aim’, such as the maintenance of</w:t>
      </w:r>
      <w:r w:rsidR="00745890" w:rsidRPr="00CF5A37">
        <w:rPr>
          <w:rFonts w:ascii="Times New Roman" w:hAnsi="Times New Roman" w:cs="Times New Roman"/>
          <w:sz w:val="24"/>
          <w:szCs w:val="24"/>
          <w:lang w:val="en-US"/>
        </w:rPr>
        <w:t xml:space="preserve"> public order</w:t>
      </w:r>
      <w:r w:rsidR="00786439">
        <w:rPr>
          <w:rFonts w:ascii="Times New Roman" w:hAnsi="Times New Roman" w:cs="Times New Roman"/>
          <w:sz w:val="24"/>
          <w:szCs w:val="24"/>
          <w:lang w:val="en-US"/>
        </w:rPr>
        <w:t>. Third, the restriction must</w:t>
      </w:r>
      <w:r w:rsidR="00745890" w:rsidRPr="00CF5A37">
        <w:rPr>
          <w:rFonts w:ascii="Times New Roman" w:hAnsi="Times New Roman" w:cs="Times New Roman"/>
          <w:sz w:val="24"/>
          <w:szCs w:val="24"/>
          <w:lang w:val="en-US"/>
        </w:rPr>
        <w:t xml:space="preserve"> </w:t>
      </w:r>
      <w:r w:rsidR="00CF5A37">
        <w:rPr>
          <w:rFonts w:ascii="Times New Roman" w:hAnsi="Times New Roman" w:cs="Times New Roman"/>
          <w:sz w:val="24"/>
          <w:szCs w:val="24"/>
          <w:lang w:val="en-US"/>
        </w:rPr>
        <w:t>be</w:t>
      </w:r>
      <w:r w:rsidR="00745890" w:rsidRPr="00CF5A37">
        <w:rPr>
          <w:rFonts w:ascii="Times New Roman" w:hAnsi="Times New Roman" w:cs="Times New Roman"/>
          <w:sz w:val="24"/>
          <w:szCs w:val="24"/>
          <w:lang w:val="en-US"/>
        </w:rPr>
        <w:t xml:space="preserve"> ‘nece</w:t>
      </w:r>
      <w:r w:rsidR="00CF5A37">
        <w:rPr>
          <w:rFonts w:ascii="Times New Roman" w:hAnsi="Times New Roman" w:cs="Times New Roman"/>
          <w:sz w:val="24"/>
          <w:szCs w:val="24"/>
          <w:lang w:val="en-US"/>
        </w:rPr>
        <w:t>ssary in a democratic society’</w:t>
      </w:r>
      <w:r w:rsidR="000A2978">
        <w:rPr>
          <w:rFonts w:ascii="Times New Roman" w:hAnsi="Times New Roman" w:cs="Times New Roman"/>
          <w:sz w:val="24"/>
          <w:szCs w:val="24"/>
          <w:lang w:val="en-US"/>
        </w:rPr>
        <w:t>. T</w:t>
      </w:r>
      <w:r w:rsidR="006009C5">
        <w:rPr>
          <w:rFonts w:ascii="Times New Roman" w:hAnsi="Times New Roman" w:cs="Times New Roman"/>
          <w:sz w:val="24"/>
          <w:szCs w:val="24"/>
          <w:lang w:val="en-US"/>
        </w:rPr>
        <w:t>o assess this necessity, the Strasbourg Court</w:t>
      </w:r>
      <w:r w:rsidR="000A2978">
        <w:rPr>
          <w:rFonts w:ascii="Times New Roman" w:hAnsi="Times New Roman" w:cs="Times New Roman"/>
          <w:sz w:val="24"/>
          <w:szCs w:val="24"/>
          <w:shd w:val="clear" w:color="auto" w:fill="FFFFFF"/>
          <w:lang w:val="en-US"/>
        </w:rPr>
        <w:t xml:space="preserve"> </w:t>
      </w:r>
      <w:r w:rsidR="000A2978" w:rsidRPr="000A2978">
        <w:rPr>
          <w:rFonts w:ascii="Times New Roman" w:hAnsi="Times New Roman" w:cs="Times New Roman"/>
          <w:sz w:val="24"/>
          <w:szCs w:val="24"/>
          <w:lang w:val="en-US"/>
        </w:rPr>
        <w:t>has developed a number of criteria, including the condition that</w:t>
      </w:r>
      <w:r w:rsidR="000A2978">
        <w:rPr>
          <w:rFonts w:ascii="Times New Roman" w:hAnsi="Times New Roman" w:cs="Times New Roman"/>
          <w:sz w:val="24"/>
          <w:szCs w:val="24"/>
          <w:lang w:val="en-US"/>
        </w:rPr>
        <w:t xml:space="preserve"> the restriction</w:t>
      </w:r>
      <w:r w:rsidR="000A2978" w:rsidRPr="000A2978">
        <w:rPr>
          <w:rFonts w:ascii="Times New Roman" w:hAnsi="Times New Roman" w:cs="Times New Roman"/>
          <w:sz w:val="24"/>
          <w:szCs w:val="24"/>
          <w:lang w:val="en-US"/>
        </w:rPr>
        <w:t xml:space="preserve"> must </w:t>
      </w:r>
      <w:r w:rsidR="000A2978">
        <w:rPr>
          <w:rFonts w:ascii="Times New Roman" w:hAnsi="Times New Roman" w:cs="Times New Roman"/>
          <w:sz w:val="24"/>
          <w:szCs w:val="24"/>
          <w:lang w:val="en-US"/>
        </w:rPr>
        <w:t xml:space="preserve">respond </w:t>
      </w:r>
      <w:r w:rsidR="000A2978" w:rsidRPr="000A2978">
        <w:rPr>
          <w:rFonts w:ascii="Times New Roman" w:hAnsi="Times New Roman" w:cs="Times New Roman"/>
          <w:sz w:val="24"/>
          <w:szCs w:val="24"/>
          <w:lang w:val="en-US"/>
        </w:rPr>
        <w:t xml:space="preserve">to </w:t>
      </w:r>
      <w:r w:rsidR="000A2978">
        <w:rPr>
          <w:rFonts w:ascii="Times New Roman" w:hAnsi="Times New Roman" w:cs="Times New Roman"/>
          <w:sz w:val="24"/>
          <w:szCs w:val="24"/>
          <w:lang w:val="en-US"/>
        </w:rPr>
        <w:t>‘</w:t>
      </w:r>
      <w:r w:rsidR="000A2978" w:rsidRPr="000A2978">
        <w:rPr>
          <w:rFonts w:ascii="Times New Roman" w:hAnsi="Times New Roman" w:cs="Times New Roman"/>
          <w:sz w:val="24"/>
          <w:szCs w:val="24"/>
          <w:lang w:val="en-US"/>
        </w:rPr>
        <w:t>a pressing social need</w:t>
      </w:r>
      <w:r w:rsidR="000A2978">
        <w:rPr>
          <w:rFonts w:ascii="Times New Roman" w:hAnsi="Times New Roman" w:cs="Times New Roman"/>
          <w:sz w:val="24"/>
          <w:szCs w:val="24"/>
          <w:lang w:val="en-US"/>
        </w:rPr>
        <w:t>’</w:t>
      </w:r>
      <w:r w:rsidR="000A2978" w:rsidRPr="000A2978">
        <w:rPr>
          <w:rFonts w:ascii="Times New Roman" w:hAnsi="Times New Roman" w:cs="Times New Roman"/>
          <w:sz w:val="24"/>
          <w:szCs w:val="24"/>
          <w:lang w:val="en-US"/>
        </w:rPr>
        <w:t xml:space="preserve"> and that </w:t>
      </w:r>
      <w:r w:rsidR="000A2978">
        <w:rPr>
          <w:rFonts w:ascii="Times New Roman" w:hAnsi="Times New Roman" w:cs="Times New Roman"/>
          <w:sz w:val="24"/>
          <w:szCs w:val="24"/>
          <w:lang w:val="en-US"/>
        </w:rPr>
        <w:t>it must be</w:t>
      </w:r>
      <w:r w:rsidR="000A2978" w:rsidRPr="000A2978">
        <w:rPr>
          <w:rFonts w:ascii="Times New Roman" w:hAnsi="Times New Roman" w:cs="Times New Roman"/>
          <w:sz w:val="24"/>
          <w:szCs w:val="24"/>
          <w:lang w:val="en-US"/>
        </w:rPr>
        <w:t xml:space="preserve"> </w:t>
      </w:r>
      <w:r w:rsidR="000A2978">
        <w:rPr>
          <w:rFonts w:ascii="Times New Roman" w:hAnsi="Times New Roman" w:cs="Times New Roman"/>
          <w:sz w:val="24"/>
          <w:szCs w:val="24"/>
          <w:lang w:val="en-US"/>
        </w:rPr>
        <w:t>‘</w:t>
      </w:r>
      <w:r w:rsidR="000A2978" w:rsidRPr="000A2978">
        <w:rPr>
          <w:rFonts w:ascii="Times New Roman" w:hAnsi="Times New Roman" w:cs="Times New Roman"/>
          <w:sz w:val="24"/>
          <w:szCs w:val="24"/>
          <w:lang w:val="en-US"/>
        </w:rPr>
        <w:t>proportionate</w:t>
      </w:r>
      <w:r w:rsidR="000A2978">
        <w:rPr>
          <w:rFonts w:ascii="Times New Roman" w:hAnsi="Times New Roman" w:cs="Times New Roman"/>
          <w:sz w:val="24"/>
          <w:szCs w:val="24"/>
          <w:lang w:val="en-US"/>
        </w:rPr>
        <w:t>’</w:t>
      </w:r>
      <w:r w:rsidR="005E4FB6">
        <w:rPr>
          <w:rFonts w:ascii="Times New Roman" w:hAnsi="Times New Roman" w:cs="Times New Roman"/>
          <w:sz w:val="24"/>
          <w:szCs w:val="24"/>
          <w:lang w:val="en-US"/>
        </w:rPr>
        <w:t xml:space="preserve"> (see </w:t>
      </w:r>
      <w:r w:rsidR="005E4FB6">
        <w:rPr>
          <w:rFonts w:ascii="Times New Roman" w:hAnsi="Times New Roman" w:cs="Times New Roman"/>
          <w:i/>
          <w:sz w:val="24"/>
          <w:szCs w:val="24"/>
          <w:lang w:val="en-US"/>
        </w:rPr>
        <w:t>infra</w:t>
      </w:r>
      <w:r w:rsidR="005E4FB6">
        <w:rPr>
          <w:rFonts w:ascii="Times New Roman" w:hAnsi="Times New Roman" w:cs="Times New Roman"/>
          <w:sz w:val="24"/>
          <w:szCs w:val="24"/>
          <w:lang w:val="en-US"/>
        </w:rPr>
        <w:t>)</w:t>
      </w:r>
      <w:r w:rsidR="000A2978" w:rsidRPr="000A2978">
        <w:rPr>
          <w:rFonts w:ascii="Times New Roman" w:hAnsi="Times New Roman" w:cs="Times New Roman"/>
          <w:sz w:val="24"/>
          <w:szCs w:val="24"/>
          <w:lang w:val="en-US"/>
        </w:rPr>
        <w:t xml:space="preserve">. </w:t>
      </w:r>
    </w:p>
    <w:p w14:paraId="4CB9F317" w14:textId="0E714C23" w:rsidR="00CF5A37" w:rsidRPr="00CF5A37" w:rsidRDefault="006009C5" w:rsidP="00745890">
      <w:pPr>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0A2978">
        <w:rPr>
          <w:rFonts w:ascii="Times New Roman" w:hAnsi="Times New Roman" w:cs="Times New Roman"/>
          <w:sz w:val="24"/>
          <w:szCs w:val="24"/>
          <w:lang w:val="en-US"/>
        </w:rPr>
        <w:t xml:space="preserve">t is important to note that </w:t>
      </w:r>
      <w:r w:rsidR="00571696">
        <w:rPr>
          <w:rFonts w:ascii="Times New Roman" w:hAnsi="Times New Roman" w:cs="Times New Roman"/>
          <w:sz w:val="24"/>
          <w:szCs w:val="24"/>
          <w:lang w:val="en-US"/>
        </w:rPr>
        <w:t>Article</w:t>
      </w:r>
      <w:r w:rsidR="000A2978">
        <w:rPr>
          <w:rFonts w:ascii="Times New Roman" w:hAnsi="Times New Roman" w:cs="Times New Roman"/>
          <w:sz w:val="24"/>
          <w:szCs w:val="24"/>
          <w:lang w:val="en-US"/>
        </w:rPr>
        <w:t xml:space="preserve"> 2 FAP contains </w:t>
      </w:r>
      <w:r w:rsidR="000A2978" w:rsidRPr="00290C90">
        <w:rPr>
          <w:rFonts w:ascii="Times New Roman" w:hAnsi="Times New Roman" w:cs="Times New Roman"/>
          <w:sz w:val="24"/>
          <w:szCs w:val="24"/>
          <w:lang w:val="en-US"/>
        </w:rPr>
        <w:t>another restriction ground</w:t>
      </w:r>
      <w:r w:rsidR="000A2978">
        <w:rPr>
          <w:rFonts w:ascii="Times New Roman" w:hAnsi="Times New Roman" w:cs="Times New Roman"/>
          <w:sz w:val="24"/>
          <w:szCs w:val="24"/>
          <w:lang w:val="en-US"/>
        </w:rPr>
        <w:t xml:space="preserve"> </w:t>
      </w:r>
      <w:r w:rsidR="000A2978" w:rsidRPr="00290C90">
        <w:rPr>
          <w:rFonts w:ascii="Times New Roman" w:hAnsi="Times New Roman" w:cs="Times New Roman"/>
          <w:sz w:val="24"/>
          <w:szCs w:val="24"/>
          <w:lang w:val="en-US"/>
        </w:rPr>
        <w:t>in the fourth paragraph. This</w:t>
      </w:r>
      <w:r w:rsidR="000A2978" w:rsidRPr="00290C90">
        <w:rPr>
          <w:rFonts w:ascii="Times New Roman" w:hAnsi="Times New Roman" w:cs="Times New Roman"/>
          <w:sz w:val="24"/>
          <w:szCs w:val="24"/>
          <w:lang w:val="en-CA"/>
        </w:rPr>
        <w:t xml:space="preserve"> paragraph already enables the national authorities to restrict the freedom of movement when </w:t>
      </w:r>
      <w:r w:rsidR="000A2978">
        <w:rPr>
          <w:rFonts w:ascii="Times New Roman" w:hAnsi="Times New Roman" w:cs="Times New Roman"/>
          <w:sz w:val="24"/>
          <w:szCs w:val="24"/>
          <w:lang w:val="en-CA"/>
        </w:rPr>
        <w:t>it</w:t>
      </w:r>
      <w:r w:rsidR="000A2978" w:rsidRPr="00290C90">
        <w:rPr>
          <w:rFonts w:ascii="Times New Roman" w:hAnsi="Times New Roman" w:cs="Times New Roman"/>
          <w:sz w:val="24"/>
          <w:szCs w:val="24"/>
          <w:lang w:val="en-CA"/>
        </w:rPr>
        <w:t xml:space="preserve"> is ‘</w:t>
      </w:r>
      <w:r w:rsidR="000A2978" w:rsidRPr="00CF7511">
        <w:rPr>
          <w:rFonts w:ascii="Times New Roman" w:hAnsi="Times New Roman" w:cs="Times New Roman"/>
          <w:sz w:val="24"/>
          <w:szCs w:val="24"/>
          <w:lang w:val="en-CA"/>
        </w:rPr>
        <w:t>justified b</w:t>
      </w:r>
      <w:r w:rsidR="000A2978" w:rsidRPr="00290C90">
        <w:rPr>
          <w:rFonts w:ascii="Times New Roman" w:hAnsi="Times New Roman" w:cs="Times New Roman"/>
          <w:sz w:val="24"/>
          <w:szCs w:val="24"/>
          <w:lang w:val="en-CA"/>
        </w:rPr>
        <w:t>y the public interest in a democratic society’, which seems</w:t>
      </w:r>
      <w:r w:rsidR="000A2978">
        <w:rPr>
          <w:rFonts w:ascii="Times New Roman" w:hAnsi="Times New Roman" w:cs="Times New Roman"/>
          <w:sz w:val="24"/>
          <w:szCs w:val="24"/>
          <w:lang w:val="en-CA"/>
        </w:rPr>
        <w:t xml:space="preserve"> to</w:t>
      </w:r>
      <w:r w:rsidR="000A2978" w:rsidRPr="00290C90">
        <w:rPr>
          <w:rFonts w:ascii="Times New Roman" w:hAnsi="Times New Roman" w:cs="Times New Roman"/>
          <w:sz w:val="24"/>
          <w:szCs w:val="24"/>
          <w:lang w:val="en-CA"/>
        </w:rPr>
        <w:t xml:space="preserve"> </w:t>
      </w:r>
      <w:r w:rsidR="000A2978" w:rsidRPr="00290C90">
        <w:rPr>
          <w:rFonts w:ascii="Times New Roman" w:hAnsi="Times New Roman" w:cs="Times New Roman"/>
          <w:sz w:val="24"/>
          <w:szCs w:val="24"/>
          <w:lang w:val="en-US"/>
        </w:rPr>
        <w:t xml:space="preserve">be </w:t>
      </w:r>
      <w:r w:rsidR="000A2978" w:rsidRPr="00290C90">
        <w:rPr>
          <w:rFonts w:ascii="Times New Roman" w:hAnsi="Times New Roman" w:cs="Times New Roman"/>
          <w:sz w:val="24"/>
          <w:szCs w:val="24"/>
          <w:lang w:val="en-CA"/>
        </w:rPr>
        <w:t>less strict than the standard formula</w:t>
      </w:r>
      <w:r w:rsidR="000A2978">
        <w:rPr>
          <w:rFonts w:ascii="Times New Roman" w:hAnsi="Times New Roman" w:cs="Times New Roman"/>
          <w:sz w:val="24"/>
          <w:szCs w:val="24"/>
          <w:lang w:val="en-CA"/>
        </w:rPr>
        <w:t xml:space="preserve"> of ‘necessary in a democratic </w:t>
      </w:r>
      <w:r w:rsidR="000A2978" w:rsidRPr="00290C90">
        <w:rPr>
          <w:rFonts w:ascii="Times New Roman" w:hAnsi="Times New Roman" w:cs="Times New Roman"/>
          <w:sz w:val="24"/>
          <w:szCs w:val="24"/>
          <w:lang w:val="en-CA"/>
        </w:rPr>
        <w:t xml:space="preserve">society’ in the third paragraph. </w:t>
      </w:r>
      <w:r w:rsidR="000A2978">
        <w:rPr>
          <w:rFonts w:ascii="Times New Roman" w:hAnsi="Times New Roman" w:cs="Times New Roman"/>
          <w:sz w:val="24"/>
          <w:szCs w:val="24"/>
          <w:lang w:val="en-CA"/>
        </w:rPr>
        <w:t>In this case, t</w:t>
      </w:r>
      <w:r w:rsidR="000A2978" w:rsidRPr="000A2978">
        <w:rPr>
          <w:rFonts w:ascii="Times New Roman" w:hAnsi="Times New Roman" w:cs="Times New Roman"/>
          <w:sz w:val="24"/>
          <w:szCs w:val="24"/>
          <w:lang w:val="en-CA"/>
        </w:rPr>
        <w:t xml:space="preserve">he measure does not have to respond to </w:t>
      </w:r>
      <w:r>
        <w:rPr>
          <w:rFonts w:ascii="Times New Roman" w:hAnsi="Times New Roman" w:cs="Times New Roman"/>
          <w:sz w:val="24"/>
          <w:szCs w:val="24"/>
          <w:lang w:val="en-CA"/>
        </w:rPr>
        <w:t xml:space="preserve">‘a </w:t>
      </w:r>
      <w:r w:rsidR="000A2978" w:rsidRPr="000A2978">
        <w:rPr>
          <w:rFonts w:ascii="Times New Roman" w:hAnsi="Times New Roman" w:cs="Times New Roman"/>
          <w:sz w:val="24"/>
          <w:szCs w:val="24"/>
          <w:lang w:val="en-CA"/>
        </w:rPr>
        <w:t>pressing social need</w:t>
      </w:r>
      <w:r>
        <w:rPr>
          <w:rFonts w:ascii="Times New Roman" w:hAnsi="Times New Roman" w:cs="Times New Roman"/>
          <w:sz w:val="24"/>
          <w:szCs w:val="24"/>
          <w:lang w:val="en-CA"/>
        </w:rPr>
        <w:t>’</w:t>
      </w:r>
      <w:r w:rsidR="000A2978">
        <w:rPr>
          <w:rFonts w:ascii="Times New Roman" w:hAnsi="Times New Roman" w:cs="Times New Roman"/>
          <w:sz w:val="24"/>
          <w:szCs w:val="24"/>
          <w:lang w:val="en-CA"/>
        </w:rPr>
        <w:t>; it suffices that it is ‘not disproportionate’</w:t>
      </w:r>
      <w:r w:rsidR="000A2978" w:rsidRPr="000503D8">
        <w:rPr>
          <w:rStyle w:val="Odwoanieprzypisudolnego"/>
          <w:rFonts w:ascii="Times New Roman" w:hAnsi="Times New Roman" w:cs="Times New Roman"/>
          <w:sz w:val="24"/>
          <w:szCs w:val="24"/>
          <w:lang w:val="en-CA"/>
        </w:rPr>
        <w:footnoteReference w:id="22"/>
      </w:r>
      <w:r w:rsidR="000A2978" w:rsidRPr="000A2978">
        <w:rPr>
          <w:rFonts w:ascii="Times New Roman" w:hAnsi="Times New Roman" w:cs="Times New Roman"/>
          <w:sz w:val="24"/>
          <w:szCs w:val="24"/>
          <w:lang w:val="en-CA"/>
        </w:rPr>
        <w:t>.</w:t>
      </w:r>
      <w:r w:rsidR="000A2978">
        <w:rPr>
          <w:rFonts w:ascii="Times New Roman" w:hAnsi="Times New Roman" w:cs="Times New Roman"/>
          <w:sz w:val="24"/>
          <w:szCs w:val="24"/>
          <w:lang w:val="en-CA"/>
        </w:rPr>
        <w:t xml:space="preserve"> </w:t>
      </w:r>
      <w:r w:rsidR="00E84C7C">
        <w:rPr>
          <w:rFonts w:ascii="Times New Roman" w:hAnsi="Times New Roman" w:cs="Times New Roman"/>
          <w:sz w:val="24"/>
          <w:szCs w:val="24"/>
          <w:lang w:val="en-CA"/>
        </w:rPr>
        <w:t xml:space="preserve">As a result, and regardless of </w:t>
      </w:r>
      <w:r>
        <w:rPr>
          <w:rFonts w:ascii="Times New Roman" w:hAnsi="Times New Roman" w:cs="Times New Roman"/>
          <w:sz w:val="24"/>
          <w:szCs w:val="24"/>
          <w:lang w:val="en-CA"/>
        </w:rPr>
        <w:t>whether the</w:t>
      </w:r>
      <w:r w:rsidR="00E84C7C">
        <w:rPr>
          <w:rFonts w:ascii="Times New Roman" w:hAnsi="Times New Roman" w:cs="Times New Roman"/>
          <w:sz w:val="24"/>
          <w:szCs w:val="24"/>
          <w:lang w:val="en-CA"/>
        </w:rPr>
        <w:t xml:space="preserve"> restriction ground </w:t>
      </w:r>
      <w:r>
        <w:rPr>
          <w:rFonts w:ascii="Times New Roman" w:hAnsi="Times New Roman" w:cs="Times New Roman"/>
          <w:sz w:val="24"/>
          <w:szCs w:val="24"/>
          <w:lang w:val="en-CA"/>
        </w:rPr>
        <w:t xml:space="preserve">in the third or the fourth paragraph is </w:t>
      </w:r>
      <w:r w:rsidR="00E84C7C">
        <w:rPr>
          <w:rFonts w:ascii="Times New Roman" w:hAnsi="Times New Roman" w:cs="Times New Roman"/>
          <w:sz w:val="24"/>
          <w:szCs w:val="24"/>
          <w:lang w:val="en-CA"/>
        </w:rPr>
        <w:t xml:space="preserve">applied, the measure must </w:t>
      </w:r>
      <w:r>
        <w:rPr>
          <w:rFonts w:ascii="Times New Roman" w:hAnsi="Times New Roman" w:cs="Times New Roman"/>
          <w:sz w:val="24"/>
          <w:szCs w:val="24"/>
          <w:lang w:val="en-CA"/>
        </w:rPr>
        <w:t xml:space="preserve">always </w:t>
      </w:r>
      <w:r w:rsidR="00E84C7C">
        <w:rPr>
          <w:rFonts w:ascii="Times New Roman" w:hAnsi="Times New Roman" w:cs="Times New Roman"/>
          <w:sz w:val="24"/>
          <w:szCs w:val="24"/>
          <w:lang w:val="en-CA"/>
        </w:rPr>
        <w:t xml:space="preserve">be </w:t>
      </w:r>
      <w:r>
        <w:rPr>
          <w:rFonts w:ascii="Times New Roman" w:hAnsi="Times New Roman" w:cs="Times New Roman"/>
          <w:sz w:val="24"/>
          <w:szCs w:val="24"/>
          <w:lang w:val="en-CA"/>
        </w:rPr>
        <w:t xml:space="preserve">at least </w:t>
      </w:r>
      <w:r w:rsidR="00E84C7C">
        <w:rPr>
          <w:rFonts w:ascii="Times New Roman" w:hAnsi="Times New Roman" w:cs="Times New Roman"/>
          <w:sz w:val="24"/>
          <w:szCs w:val="24"/>
          <w:lang w:val="en-CA"/>
        </w:rPr>
        <w:t xml:space="preserve">‘proportionate’. </w:t>
      </w:r>
      <w:r>
        <w:rPr>
          <w:rFonts w:ascii="Times New Roman" w:hAnsi="Times New Roman" w:cs="Times New Roman"/>
          <w:sz w:val="24"/>
          <w:szCs w:val="24"/>
          <w:lang w:val="en-CA"/>
        </w:rPr>
        <w:t>The</w:t>
      </w:r>
      <w:r w:rsidR="000A2978" w:rsidRPr="00290C90">
        <w:rPr>
          <w:rFonts w:ascii="Times New Roman" w:hAnsi="Times New Roman" w:cs="Times New Roman"/>
          <w:sz w:val="24"/>
          <w:szCs w:val="24"/>
          <w:lang w:val="en-CA"/>
        </w:rPr>
        <w:t xml:space="preserve"> </w:t>
      </w:r>
      <w:r>
        <w:rPr>
          <w:rFonts w:ascii="Times New Roman" w:hAnsi="Times New Roman" w:cs="Times New Roman"/>
          <w:sz w:val="24"/>
          <w:szCs w:val="24"/>
          <w:lang w:val="en-CA"/>
        </w:rPr>
        <w:t>fourth paragraph wa</w:t>
      </w:r>
      <w:r w:rsidR="000A2978" w:rsidRPr="00290C90">
        <w:rPr>
          <w:rFonts w:ascii="Times New Roman" w:hAnsi="Times New Roman" w:cs="Times New Roman"/>
          <w:sz w:val="24"/>
          <w:szCs w:val="24"/>
          <w:lang w:val="en-CA"/>
        </w:rPr>
        <w:t xml:space="preserve">s introduced to </w:t>
      </w:r>
      <w:r>
        <w:rPr>
          <w:rFonts w:ascii="Times New Roman" w:hAnsi="Times New Roman" w:cs="Times New Roman"/>
          <w:sz w:val="24"/>
          <w:szCs w:val="24"/>
          <w:lang w:val="en-CA"/>
        </w:rPr>
        <w:t>enable restrictions that</w:t>
      </w:r>
      <w:r w:rsidR="000A2978" w:rsidRPr="00290C90">
        <w:rPr>
          <w:rFonts w:ascii="Times New Roman" w:hAnsi="Times New Roman" w:cs="Times New Roman"/>
          <w:sz w:val="24"/>
          <w:szCs w:val="24"/>
          <w:lang w:val="en-CA"/>
        </w:rPr>
        <w:t xml:space="preserve"> – although they serve the general interest – do not necessarily </w:t>
      </w:r>
      <w:r>
        <w:rPr>
          <w:rFonts w:ascii="Times New Roman" w:hAnsi="Times New Roman" w:cs="Times New Roman"/>
          <w:sz w:val="24"/>
          <w:szCs w:val="24"/>
          <w:lang w:val="en-CA"/>
        </w:rPr>
        <w:t xml:space="preserve">require a situation in which there is </w:t>
      </w:r>
      <w:r w:rsidR="000A2978" w:rsidRPr="00290C90">
        <w:rPr>
          <w:rFonts w:ascii="Times New Roman" w:hAnsi="Times New Roman" w:cs="Times New Roman"/>
          <w:sz w:val="24"/>
          <w:szCs w:val="24"/>
          <w:lang w:val="en-CA"/>
        </w:rPr>
        <w:t>a disturbance of public order as well</w:t>
      </w:r>
      <w:r w:rsidR="000A2978" w:rsidRPr="00290C90">
        <w:rPr>
          <w:rStyle w:val="Odwoanieprzypisudolnego"/>
          <w:rFonts w:ascii="Times New Roman" w:hAnsi="Times New Roman" w:cs="Times New Roman"/>
          <w:sz w:val="24"/>
          <w:szCs w:val="24"/>
          <w:lang w:val="en-CA"/>
        </w:rPr>
        <w:footnoteReference w:id="23"/>
      </w:r>
      <w:r w:rsidR="000A2978" w:rsidRPr="00290C90">
        <w:rPr>
          <w:rFonts w:ascii="Times New Roman" w:hAnsi="Times New Roman" w:cs="Times New Roman"/>
          <w:sz w:val="24"/>
          <w:szCs w:val="24"/>
          <w:lang w:val="en-CA"/>
        </w:rPr>
        <w:t>. However, this restriction ground is</w:t>
      </w:r>
      <w:r w:rsidR="000A2978" w:rsidRPr="00290C90">
        <w:rPr>
          <w:rFonts w:ascii="Times New Roman" w:hAnsi="Times New Roman" w:cs="Times New Roman"/>
          <w:sz w:val="24"/>
          <w:szCs w:val="24"/>
          <w:lang w:val="en-US"/>
        </w:rPr>
        <w:t xml:space="preserve"> only applicable in particular </w:t>
      </w:r>
      <w:r w:rsidR="000A2978" w:rsidRPr="00290C90">
        <w:rPr>
          <w:rFonts w:ascii="Times New Roman" w:hAnsi="Times New Roman" w:cs="Times New Roman"/>
          <w:sz w:val="24"/>
          <w:szCs w:val="24"/>
          <w:lang w:val="en-CA"/>
        </w:rPr>
        <w:t xml:space="preserve">geographical </w:t>
      </w:r>
      <w:r w:rsidR="000A2978" w:rsidRPr="00290C90">
        <w:rPr>
          <w:rFonts w:ascii="Times New Roman" w:hAnsi="Times New Roman" w:cs="Times New Roman"/>
          <w:sz w:val="24"/>
          <w:szCs w:val="24"/>
          <w:lang w:val="en-US"/>
        </w:rPr>
        <w:t>areas, such as areas with a lot of drug trafficking</w:t>
      </w:r>
      <w:r w:rsidR="000A2978" w:rsidRPr="00290C90">
        <w:rPr>
          <w:rStyle w:val="Odwoanieprzypisudolnego"/>
          <w:rFonts w:ascii="Times New Roman" w:hAnsi="Times New Roman" w:cs="Times New Roman"/>
          <w:sz w:val="24"/>
          <w:szCs w:val="24"/>
          <w:lang w:val="en-CA"/>
        </w:rPr>
        <w:footnoteReference w:id="24"/>
      </w:r>
      <w:r w:rsidR="000A2978">
        <w:rPr>
          <w:rFonts w:ascii="Times New Roman" w:hAnsi="Times New Roman" w:cs="Times New Roman"/>
          <w:sz w:val="24"/>
          <w:szCs w:val="24"/>
          <w:lang w:val="en-CA"/>
        </w:rPr>
        <w:t>.</w:t>
      </w:r>
    </w:p>
    <w:p w14:paraId="4D297C2B" w14:textId="491BF552" w:rsidR="008C645E" w:rsidRDefault="00CF7511" w:rsidP="00B7455E">
      <w:pPr>
        <w:jc w:val="both"/>
        <w:rPr>
          <w:rFonts w:ascii="Times New Roman" w:hAnsi="Times New Roman" w:cs="Times New Roman"/>
          <w:sz w:val="24"/>
          <w:szCs w:val="24"/>
          <w:lang w:val="en-CA"/>
        </w:rPr>
      </w:pPr>
      <w:r w:rsidRPr="000254C2">
        <w:rPr>
          <w:rFonts w:ascii="Times New Roman" w:hAnsi="Times New Roman" w:cs="Times New Roman"/>
          <w:sz w:val="24"/>
          <w:szCs w:val="24"/>
          <w:lang w:val="en-CA"/>
        </w:rPr>
        <w:t xml:space="preserve">Second, </w:t>
      </w:r>
      <w:r w:rsidR="006009C5">
        <w:rPr>
          <w:rFonts w:ascii="Times New Roman" w:hAnsi="Times New Roman" w:cs="Times New Roman"/>
          <w:sz w:val="24"/>
          <w:szCs w:val="24"/>
          <w:lang w:val="en-CA"/>
        </w:rPr>
        <w:t>as discussed above, the national</w:t>
      </w:r>
      <w:r w:rsidR="000254C2" w:rsidRPr="000254C2">
        <w:rPr>
          <w:rFonts w:ascii="Times New Roman" w:hAnsi="Times New Roman" w:cs="Times New Roman"/>
          <w:sz w:val="24"/>
          <w:szCs w:val="24"/>
          <w:lang w:val="en-CA"/>
        </w:rPr>
        <w:t xml:space="preserve"> authorit</w:t>
      </w:r>
      <w:r w:rsidR="006009C5">
        <w:rPr>
          <w:rFonts w:ascii="Times New Roman" w:hAnsi="Times New Roman" w:cs="Times New Roman"/>
          <w:sz w:val="24"/>
          <w:szCs w:val="24"/>
          <w:lang w:val="en-CA"/>
        </w:rPr>
        <w:t>ies</w:t>
      </w:r>
      <w:r w:rsidR="005E4FB6">
        <w:rPr>
          <w:rFonts w:ascii="Times New Roman" w:hAnsi="Times New Roman" w:cs="Times New Roman"/>
          <w:sz w:val="24"/>
          <w:szCs w:val="24"/>
          <w:lang w:val="en-CA"/>
        </w:rPr>
        <w:t xml:space="preserve"> might not only </w:t>
      </w:r>
      <w:r w:rsidR="006009C5">
        <w:rPr>
          <w:rFonts w:ascii="Times New Roman" w:hAnsi="Times New Roman" w:cs="Times New Roman"/>
          <w:sz w:val="24"/>
          <w:szCs w:val="24"/>
          <w:lang w:val="en-CA"/>
        </w:rPr>
        <w:t>have to</w:t>
      </w:r>
      <w:r w:rsidR="005E4FB6">
        <w:rPr>
          <w:rFonts w:ascii="Times New Roman" w:hAnsi="Times New Roman" w:cs="Times New Roman"/>
          <w:sz w:val="24"/>
          <w:szCs w:val="24"/>
          <w:lang w:val="en-CA"/>
        </w:rPr>
        <w:t xml:space="preserve"> </w:t>
      </w:r>
      <w:r w:rsidR="000254C2" w:rsidRPr="000254C2">
        <w:rPr>
          <w:rFonts w:ascii="Times New Roman" w:hAnsi="Times New Roman" w:cs="Times New Roman"/>
          <w:sz w:val="24"/>
          <w:szCs w:val="24"/>
          <w:lang w:val="en-CA"/>
        </w:rPr>
        <w:t>take into account</w:t>
      </w:r>
      <w:r w:rsidR="005E4FB6">
        <w:rPr>
          <w:rFonts w:ascii="Times New Roman" w:hAnsi="Times New Roman" w:cs="Times New Roman"/>
          <w:sz w:val="24"/>
          <w:szCs w:val="24"/>
          <w:lang w:val="en-CA"/>
        </w:rPr>
        <w:t xml:space="preserve"> </w:t>
      </w:r>
      <w:r w:rsidR="000254C2" w:rsidRPr="000254C2">
        <w:rPr>
          <w:rFonts w:ascii="Times New Roman" w:hAnsi="Times New Roman" w:cs="Times New Roman"/>
          <w:sz w:val="24"/>
          <w:szCs w:val="24"/>
          <w:lang w:val="en-CA"/>
        </w:rPr>
        <w:t>the</w:t>
      </w:r>
      <w:r w:rsidR="005E4FB6">
        <w:rPr>
          <w:rFonts w:ascii="Times New Roman" w:hAnsi="Times New Roman" w:cs="Times New Roman"/>
          <w:sz w:val="24"/>
          <w:szCs w:val="24"/>
          <w:lang w:val="en-CA"/>
        </w:rPr>
        <w:t xml:space="preserve"> requirements of </w:t>
      </w:r>
      <w:r w:rsidR="00571696">
        <w:rPr>
          <w:rFonts w:ascii="Times New Roman" w:hAnsi="Times New Roman" w:cs="Times New Roman"/>
          <w:sz w:val="24"/>
          <w:szCs w:val="24"/>
          <w:lang w:val="en-CA"/>
        </w:rPr>
        <w:t>Article</w:t>
      </w:r>
      <w:r w:rsidR="005E4FB6">
        <w:rPr>
          <w:rFonts w:ascii="Times New Roman" w:hAnsi="Times New Roman" w:cs="Times New Roman"/>
          <w:sz w:val="24"/>
          <w:szCs w:val="24"/>
          <w:lang w:val="en-CA"/>
        </w:rPr>
        <w:t xml:space="preserve"> 2 FAP. After all, </w:t>
      </w:r>
      <w:r w:rsidR="006009C5">
        <w:rPr>
          <w:rFonts w:ascii="Times New Roman" w:hAnsi="Times New Roman" w:cs="Times New Roman"/>
          <w:sz w:val="24"/>
          <w:szCs w:val="24"/>
          <w:lang w:val="en-CA"/>
        </w:rPr>
        <w:t xml:space="preserve">freedom-restricting </w:t>
      </w:r>
      <w:r w:rsidR="005E4FB6">
        <w:rPr>
          <w:rFonts w:ascii="Times New Roman" w:hAnsi="Times New Roman" w:cs="Times New Roman"/>
          <w:sz w:val="24"/>
          <w:szCs w:val="24"/>
          <w:lang w:val="en-CA"/>
        </w:rPr>
        <w:t>measures might also interfere with other fundamental rights</w:t>
      </w:r>
      <w:r w:rsidR="000254C2">
        <w:rPr>
          <w:rFonts w:ascii="Times New Roman" w:hAnsi="Times New Roman" w:cs="Times New Roman"/>
          <w:sz w:val="24"/>
          <w:szCs w:val="24"/>
          <w:lang w:val="en-CA"/>
        </w:rPr>
        <w:t>, suc</w:t>
      </w:r>
      <w:r w:rsidR="00786439">
        <w:rPr>
          <w:rFonts w:ascii="Times New Roman" w:hAnsi="Times New Roman" w:cs="Times New Roman"/>
          <w:sz w:val="24"/>
          <w:szCs w:val="24"/>
          <w:lang w:val="en-CA"/>
        </w:rPr>
        <w:t xml:space="preserve">h as </w:t>
      </w:r>
      <w:r w:rsidR="00571696">
        <w:rPr>
          <w:rFonts w:ascii="Times New Roman" w:hAnsi="Times New Roman" w:cs="Times New Roman"/>
          <w:sz w:val="24"/>
          <w:szCs w:val="24"/>
          <w:lang w:val="en-CA"/>
        </w:rPr>
        <w:t>Article</w:t>
      </w:r>
      <w:r w:rsidR="00786439">
        <w:rPr>
          <w:rFonts w:ascii="Times New Roman" w:hAnsi="Times New Roman" w:cs="Times New Roman"/>
          <w:sz w:val="24"/>
          <w:szCs w:val="24"/>
          <w:lang w:val="en-CA"/>
        </w:rPr>
        <w:t>s 8, 10 and 11 ECHR</w:t>
      </w:r>
      <w:r w:rsidR="000254C2" w:rsidRPr="000254C2">
        <w:rPr>
          <w:rFonts w:ascii="Times New Roman" w:hAnsi="Times New Roman" w:cs="Times New Roman"/>
          <w:sz w:val="24"/>
          <w:szCs w:val="24"/>
          <w:lang w:val="en-CA"/>
        </w:rPr>
        <w:t xml:space="preserve">. </w:t>
      </w:r>
      <w:r w:rsidR="00786439">
        <w:rPr>
          <w:rFonts w:ascii="Times New Roman" w:hAnsi="Times New Roman" w:cs="Times New Roman"/>
          <w:sz w:val="24"/>
          <w:szCs w:val="24"/>
          <w:lang w:val="en-CA"/>
        </w:rPr>
        <w:t>These</w:t>
      </w:r>
      <w:r w:rsidR="000254C2">
        <w:rPr>
          <w:rFonts w:ascii="Times New Roman" w:hAnsi="Times New Roman" w:cs="Times New Roman"/>
          <w:sz w:val="24"/>
          <w:szCs w:val="24"/>
          <w:lang w:val="en-US"/>
        </w:rPr>
        <w:t xml:space="preserve"> </w:t>
      </w:r>
      <w:r w:rsidR="00571696">
        <w:rPr>
          <w:rFonts w:ascii="Times New Roman" w:hAnsi="Times New Roman" w:cs="Times New Roman"/>
          <w:sz w:val="24"/>
          <w:szCs w:val="24"/>
          <w:lang w:val="en-US"/>
        </w:rPr>
        <w:t>Article</w:t>
      </w:r>
      <w:r w:rsidR="000254C2">
        <w:rPr>
          <w:rFonts w:ascii="Times New Roman" w:hAnsi="Times New Roman" w:cs="Times New Roman"/>
          <w:sz w:val="24"/>
          <w:szCs w:val="24"/>
          <w:lang w:val="en-US"/>
        </w:rPr>
        <w:t xml:space="preserve">s </w:t>
      </w:r>
      <w:r>
        <w:rPr>
          <w:rFonts w:ascii="Times New Roman" w:hAnsi="Times New Roman" w:cs="Times New Roman"/>
          <w:sz w:val="24"/>
          <w:szCs w:val="24"/>
          <w:lang w:val="en-US"/>
        </w:rPr>
        <w:t>contain similar restriction conditions</w:t>
      </w:r>
      <w:r w:rsidR="000254C2">
        <w:rPr>
          <w:rFonts w:ascii="Times New Roman" w:hAnsi="Times New Roman" w:cs="Times New Roman"/>
          <w:sz w:val="24"/>
          <w:szCs w:val="24"/>
          <w:lang w:val="en-US"/>
        </w:rPr>
        <w:t xml:space="preserve"> </w:t>
      </w:r>
      <w:r w:rsidR="000254C2" w:rsidRPr="00786439">
        <w:rPr>
          <w:rFonts w:ascii="Times New Roman" w:hAnsi="Times New Roman" w:cs="Times New Roman"/>
          <w:sz w:val="24"/>
          <w:szCs w:val="24"/>
          <w:lang w:val="en-US"/>
        </w:rPr>
        <w:t>as</w:t>
      </w:r>
      <w:r w:rsidR="000254C2">
        <w:rPr>
          <w:rFonts w:ascii="Times New Roman" w:hAnsi="Times New Roman" w:cs="Times New Roman"/>
          <w:sz w:val="24"/>
          <w:szCs w:val="24"/>
          <w:lang w:val="en-US"/>
        </w:rPr>
        <w:t xml:space="preserve"> </w:t>
      </w:r>
      <w:r w:rsidR="00571696">
        <w:rPr>
          <w:rFonts w:ascii="Times New Roman" w:hAnsi="Times New Roman" w:cs="Times New Roman"/>
          <w:sz w:val="24"/>
          <w:szCs w:val="24"/>
          <w:lang w:val="en-US"/>
        </w:rPr>
        <w:t>Article</w:t>
      </w:r>
      <w:r w:rsidR="000254C2">
        <w:rPr>
          <w:rFonts w:ascii="Times New Roman" w:hAnsi="Times New Roman" w:cs="Times New Roman"/>
          <w:sz w:val="24"/>
          <w:szCs w:val="24"/>
          <w:lang w:val="en-US"/>
        </w:rPr>
        <w:t xml:space="preserve"> 2 FAP</w:t>
      </w:r>
      <w:r w:rsidR="006009C5">
        <w:rPr>
          <w:rFonts w:ascii="Times New Roman" w:hAnsi="Times New Roman" w:cs="Times New Roman"/>
          <w:sz w:val="24"/>
          <w:szCs w:val="24"/>
          <w:lang w:val="en-US"/>
        </w:rPr>
        <w:t>, providing that the</w:t>
      </w:r>
      <w:r w:rsidR="00CF5A37">
        <w:rPr>
          <w:rFonts w:ascii="Times New Roman" w:hAnsi="Times New Roman" w:cs="Times New Roman"/>
          <w:sz w:val="24"/>
          <w:szCs w:val="24"/>
          <w:lang w:val="en-US"/>
        </w:rPr>
        <w:t xml:space="preserve"> restriction must ‘be in accordance with the law’, ‘pursue a legitimate aim’ and ‘be necessary in a </w:t>
      </w:r>
      <w:r w:rsidR="00CF5A37" w:rsidRPr="000E6894">
        <w:rPr>
          <w:rFonts w:ascii="Times New Roman" w:hAnsi="Times New Roman" w:cs="Times New Roman"/>
          <w:sz w:val="24"/>
          <w:szCs w:val="24"/>
          <w:lang w:val="en-US"/>
        </w:rPr>
        <w:t>democratic society’</w:t>
      </w:r>
      <w:r w:rsidR="000A2978" w:rsidRPr="000E6894">
        <w:rPr>
          <w:rFonts w:ascii="Times New Roman" w:hAnsi="Times New Roman" w:cs="Times New Roman"/>
          <w:sz w:val="24"/>
          <w:szCs w:val="24"/>
          <w:lang w:val="en-US"/>
        </w:rPr>
        <w:t>, i.e. being ‘proportionate’</w:t>
      </w:r>
      <w:r w:rsidR="000254C2" w:rsidRPr="000E6894">
        <w:rPr>
          <w:rStyle w:val="Odwoanieprzypisudolnego"/>
          <w:rFonts w:ascii="Times New Roman" w:hAnsi="Times New Roman" w:cs="Times New Roman"/>
          <w:sz w:val="24"/>
          <w:szCs w:val="24"/>
          <w:lang w:val="en-US"/>
        </w:rPr>
        <w:footnoteReference w:id="25"/>
      </w:r>
      <w:r w:rsidR="00956D8E" w:rsidRPr="000E6894">
        <w:rPr>
          <w:rFonts w:ascii="Times New Roman" w:hAnsi="Times New Roman" w:cs="Times New Roman"/>
          <w:sz w:val="24"/>
          <w:szCs w:val="24"/>
          <w:lang w:val="en-US"/>
        </w:rPr>
        <w:t>.</w:t>
      </w:r>
      <w:r w:rsidR="006009C5">
        <w:rPr>
          <w:rFonts w:ascii="Times New Roman" w:hAnsi="Times New Roman" w:cs="Times New Roman"/>
          <w:sz w:val="24"/>
          <w:szCs w:val="24"/>
          <w:lang w:val="en-US"/>
        </w:rPr>
        <w:t xml:space="preserve"> </w:t>
      </w:r>
      <w:r w:rsidR="008C645E">
        <w:rPr>
          <w:rFonts w:ascii="Times New Roman" w:hAnsi="Times New Roman" w:cs="Times New Roman"/>
          <w:sz w:val="24"/>
          <w:szCs w:val="24"/>
          <w:lang w:val="en-US"/>
        </w:rPr>
        <w:t xml:space="preserve">Thus, </w:t>
      </w:r>
      <w:r w:rsidR="00E40A22" w:rsidRPr="00956D8E">
        <w:rPr>
          <w:rFonts w:ascii="Times New Roman" w:hAnsi="Times New Roman" w:cs="Times New Roman"/>
          <w:sz w:val="24"/>
          <w:szCs w:val="24"/>
          <w:lang w:val="en-CA"/>
        </w:rPr>
        <w:t>t</w:t>
      </w:r>
      <w:r w:rsidR="004F32D8" w:rsidRPr="00956D8E">
        <w:rPr>
          <w:rFonts w:ascii="Times New Roman" w:hAnsi="Times New Roman" w:cs="Times New Roman"/>
          <w:sz w:val="24"/>
          <w:szCs w:val="24"/>
          <w:lang w:val="en-CA"/>
        </w:rPr>
        <w:t>he compatibility</w:t>
      </w:r>
      <w:r w:rsidR="008C645E">
        <w:rPr>
          <w:rFonts w:ascii="Times New Roman" w:hAnsi="Times New Roman" w:cs="Times New Roman"/>
          <w:sz w:val="24"/>
          <w:szCs w:val="24"/>
          <w:lang w:val="en-CA"/>
        </w:rPr>
        <w:t xml:space="preserve"> of</w:t>
      </w:r>
      <w:r w:rsidR="004F32D8" w:rsidRPr="00956D8E">
        <w:rPr>
          <w:rFonts w:ascii="Times New Roman" w:hAnsi="Times New Roman" w:cs="Times New Roman"/>
          <w:sz w:val="24"/>
          <w:szCs w:val="24"/>
          <w:lang w:val="en-CA"/>
        </w:rPr>
        <w:t xml:space="preserve"> </w:t>
      </w:r>
      <w:r w:rsidR="008C645E" w:rsidRPr="00956D8E">
        <w:rPr>
          <w:rFonts w:ascii="Times New Roman" w:hAnsi="Times New Roman" w:cs="Times New Roman"/>
          <w:sz w:val="24"/>
          <w:szCs w:val="24"/>
          <w:lang w:val="en-CA"/>
        </w:rPr>
        <w:t xml:space="preserve">freedom-restricting </w:t>
      </w:r>
      <w:r w:rsidR="008C645E" w:rsidRPr="008029B1">
        <w:rPr>
          <w:rFonts w:ascii="Times New Roman" w:hAnsi="Times New Roman" w:cs="Times New Roman"/>
          <w:sz w:val="24"/>
          <w:szCs w:val="24"/>
          <w:lang w:val="en-CA"/>
        </w:rPr>
        <w:t>public order</w:t>
      </w:r>
      <w:r w:rsidR="008C645E">
        <w:rPr>
          <w:rFonts w:ascii="Times New Roman" w:hAnsi="Times New Roman" w:cs="Times New Roman"/>
          <w:sz w:val="24"/>
          <w:szCs w:val="24"/>
          <w:lang w:val="en-CA"/>
        </w:rPr>
        <w:t xml:space="preserve"> powers</w:t>
      </w:r>
      <w:r w:rsidR="008C645E" w:rsidRPr="00956D8E">
        <w:rPr>
          <w:rFonts w:ascii="Times New Roman" w:hAnsi="Times New Roman" w:cs="Times New Roman"/>
          <w:sz w:val="24"/>
          <w:szCs w:val="24"/>
          <w:lang w:val="en-CA"/>
        </w:rPr>
        <w:t xml:space="preserve"> </w:t>
      </w:r>
      <w:r w:rsidR="008029B1" w:rsidRPr="00956D8E">
        <w:rPr>
          <w:rFonts w:ascii="Times New Roman" w:hAnsi="Times New Roman" w:cs="Times New Roman"/>
          <w:sz w:val="24"/>
          <w:szCs w:val="24"/>
          <w:lang w:val="en-CA"/>
        </w:rPr>
        <w:t xml:space="preserve">with our fundamental rights </w:t>
      </w:r>
      <w:r w:rsidR="008C645E">
        <w:rPr>
          <w:rFonts w:ascii="Times New Roman" w:hAnsi="Times New Roman" w:cs="Times New Roman"/>
          <w:sz w:val="24"/>
          <w:szCs w:val="24"/>
          <w:lang w:val="en-CA"/>
        </w:rPr>
        <w:t xml:space="preserve">and freedoms </w:t>
      </w:r>
      <w:r w:rsidR="006009C5" w:rsidRPr="008029B1">
        <w:rPr>
          <w:rFonts w:ascii="Times New Roman" w:hAnsi="Times New Roman" w:cs="Times New Roman"/>
          <w:sz w:val="24"/>
          <w:szCs w:val="24"/>
          <w:lang w:val="en-CA"/>
        </w:rPr>
        <w:t>i</w:t>
      </w:r>
      <w:r w:rsidR="004F32D8" w:rsidRPr="008029B1">
        <w:rPr>
          <w:rFonts w:ascii="Times New Roman" w:hAnsi="Times New Roman" w:cs="Times New Roman"/>
          <w:sz w:val="24"/>
          <w:szCs w:val="24"/>
          <w:lang w:val="en-CA"/>
        </w:rPr>
        <w:t>s not a single and distinct problem</w:t>
      </w:r>
      <w:r w:rsidR="006009C5" w:rsidRPr="008029B1">
        <w:rPr>
          <w:rFonts w:ascii="Times New Roman" w:hAnsi="Times New Roman" w:cs="Times New Roman"/>
          <w:sz w:val="24"/>
          <w:szCs w:val="24"/>
          <w:lang w:val="en-CA"/>
        </w:rPr>
        <w:t xml:space="preserve">, </w:t>
      </w:r>
      <w:r w:rsidR="00956D8E" w:rsidRPr="008029B1">
        <w:rPr>
          <w:rFonts w:ascii="Times New Roman" w:hAnsi="Times New Roman" w:cs="Times New Roman"/>
          <w:sz w:val="24"/>
          <w:szCs w:val="24"/>
          <w:lang w:val="en-CA"/>
        </w:rPr>
        <w:t>only</w:t>
      </w:r>
      <w:r w:rsidR="006009C5" w:rsidRPr="008029B1">
        <w:rPr>
          <w:rFonts w:ascii="Times New Roman" w:hAnsi="Times New Roman" w:cs="Times New Roman"/>
          <w:sz w:val="24"/>
          <w:szCs w:val="24"/>
          <w:lang w:val="en-CA"/>
        </w:rPr>
        <w:t xml:space="preserve"> </w:t>
      </w:r>
      <w:r w:rsidR="008C645E">
        <w:rPr>
          <w:rFonts w:ascii="Times New Roman" w:hAnsi="Times New Roman" w:cs="Times New Roman"/>
          <w:sz w:val="24"/>
          <w:szCs w:val="24"/>
          <w:lang w:val="en-CA"/>
        </w:rPr>
        <w:t xml:space="preserve">relating </w:t>
      </w:r>
      <w:r w:rsidR="006009C5" w:rsidRPr="008029B1">
        <w:rPr>
          <w:rFonts w:ascii="Times New Roman" w:hAnsi="Times New Roman" w:cs="Times New Roman"/>
          <w:sz w:val="24"/>
          <w:szCs w:val="24"/>
          <w:lang w:val="en-CA"/>
        </w:rPr>
        <w:t>to the right to freedom of movement in Article 2 FAP. Freedom-restricting measures</w:t>
      </w:r>
      <w:r w:rsidR="006009C5">
        <w:rPr>
          <w:rFonts w:ascii="Times New Roman" w:hAnsi="Times New Roman" w:cs="Times New Roman"/>
          <w:sz w:val="24"/>
          <w:szCs w:val="24"/>
          <w:lang w:val="en-CA"/>
        </w:rPr>
        <w:t xml:space="preserve"> </w:t>
      </w:r>
      <w:r w:rsidR="006C4404">
        <w:rPr>
          <w:rFonts w:ascii="Times New Roman" w:hAnsi="Times New Roman" w:cs="Times New Roman"/>
          <w:sz w:val="24"/>
          <w:szCs w:val="24"/>
          <w:lang w:val="en-CA"/>
        </w:rPr>
        <w:t>may</w:t>
      </w:r>
      <w:r w:rsidR="00CD34C3" w:rsidRPr="00956D8E">
        <w:rPr>
          <w:rFonts w:ascii="Times New Roman" w:hAnsi="Times New Roman" w:cs="Times New Roman"/>
          <w:sz w:val="24"/>
          <w:szCs w:val="24"/>
          <w:lang w:val="en-CA"/>
        </w:rPr>
        <w:t xml:space="preserve"> </w:t>
      </w:r>
      <w:r w:rsidR="004F32D8" w:rsidRPr="009031C0">
        <w:rPr>
          <w:rFonts w:ascii="Times New Roman" w:hAnsi="Times New Roman" w:cs="Times New Roman"/>
          <w:sz w:val="24"/>
          <w:szCs w:val="24"/>
          <w:lang w:val="en-CA"/>
        </w:rPr>
        <w:t>also interfere with several other fundamental rights</w:t>
      </w:r>
      <w:r w:rsidR="006009C5">
        <w:rPr>
          <w:rFonts w:ascii="Times New Roman" w:hAnsi="Times New Roman" w:cs="Times New Roman"/>
          <w:sz w:val="24"/>
          <w:szCs w:val="24"/>
          <w:lang w:val="en-CA"/>
        </w:rPr>
        <w:t xml:space="preserve">, thus being a multi-faceted problem. </w:t>
      </w:r>
      <w:r w:rsidR="006009C5">
        <w:rPr>
          <w:rFonts w:ascii="Times New Roman" w:hAnsi="Times New Roman" w:cs="Times New Roman"/>
          <w:sz w:val="24"/>
          <w:szCs w:val="24"/>
          <w:lang w:val="en-CA"/>
        </w:rPr>
        <w:lastRenderedPageBreak/>
        <w:t>Consequently, it is di</w:t>
      </w:r>
      <w:r w:rsidR="009031C0">
        <w:rPr>
          <w:rFonts w:ascii="Times New Roman" w:hAnsi="Times New Roman" w:cs="Times New Roman"/>
          <w:sz w:val="24"/>
          <w:szCs w:val="24"/>
          <w:lang w:val="en-CA"/>
        </w:rPr>
        <w:t xml:space="preserve">fficult to </w:t>
      </w:r>
      <w:r w:rsidR="006009C5">
        <w:rPr>
          <w:rFonts w:ascii="Times New Roman" w:hAnsi="Times New Roman" w:cs="Times New Roman"/>
          <w:sz w:val="24"/>
          <w:szCs w:val="24"/>
          <w:lang w:val="en-CA"/>
        </w:rPr>
        <w:t xml:space="preserve">appropriately </w:t>
      </w:r>
      <w:r w:rsidR="009031C0">
        <w:rPr>
          <w:rFonts w:ascii="Times New Roman" w:hAnsi="Times New Roman" w:cs="Times New Roman"/>
          <w:sz w:val="24"/>
          <w:szCs w:val="24"/>
          <w:lang w:val="en-CA"/>
        </w:rPr>
        <w:t xml:space="preserve">determine </w:t>
      </w:r>
      <w:r w:rsidR="009031C0" w:rsidRPr="009031C0">
        <w:rPr>
          <w:rFonts w:ascii="Times New Roman" w:hAnsi="Times New Roman" w:cs="Times New Roman"/>
          <w:sz w:val="24"/>
          <w:szCs w:val="24"/>
          <w:lang w:val="en-CA"/>
        </w:rPr>
        <w:t>the criteria that freedom-restricting measures must meet in order to be compliant</w:t>
      </w:r>
      <w:r w:rsidR="00E84C7C">
        <w:rPr>
          <w:rFonts w:ascii="Times New Roman" w:hAnsi="Times New Roman" w:cs="Times New Roman"/>
          <w:sz w:val="24"/>
          <w:szCs w:val="24"/>
          <w:lang w:val="en-CA"/>
        </w:rPr>
        <w:t xml:space="preserve"> with </w:t>
      </w:r>
      <w:r w:rsidR="008029B1">
        <w:rPr>
          <w:rFonts w:ascii="Times New Roman" w:hAnsi="Times New Roman" w:cs="Times New Roman"/>
          <w:sz w:val="24"/>
          <w:szCs w:val="24"/>
          <w:lang w:val="en-CA"/>
        </w:rPr>
        <w:t>the ECHR</w:t>
      </w:r>
      <w:r w:rsidR="009031C0" w:rsidRPr="009031C0">
        <w:rPr>
          <w:rFonts w:ascii="Times New Roman" w:hAnsi="Times New Roman" w:cs="Times New Roman"/>
          <w:sz w:val="24"/>
          <w:szCs w:val="24"/>
          <w:lang w:val="en-CA"/>
        </w:rPr>
        <w:t>.</w:t>
      </w:r>
      <w:r w:rsidR="009031C0">
        <w:rPr>
          <w:rFonts w:ascii="Times New Roman" w:hAnsi="Times New Roman" w:cs="Times New Roman"/>
          <w:sz w:val="24"/>
          <w:szCs w:val="24"/>
          <w:lang w:val="en-CA"/>
        </w:rPr>
        <w:t xml:space="preserve"> </w:t>
      </w:r>
    </w:p>
    <w:p w14:paraId="619D5D53" w14:textId="4B8D6A0B" w:rsidR="00CD34C3" w:rsidRPr="008C645E" w:rsidRDefault="009031C0" w:rsidP="00B7455E">
      <w:pPr>
        <w:jc w:val="both"/>
        <w:rPr>
          <w:rFonts w:ascii="Times New Roman" w:hAnsi="Times New Roman" w:cs="Times New Roman"/>
          <w:sz w:val="24"/>
          <w:szCs w:val="24"/>
          <w:lang w:val="en-US"/>
        </w:rPr>
      </w:pPr>
      <w:r>
        <w:rPr>
          <w:rFonts w:ascii="Times New Roman" w:hAnsi="Times New Roman" w:cs="Times New Roman"/>
          <w:sz w:val="24"/>
          <w:szCs w:val="24"/>
          <w:lang w:val="en-CA"/>
        </w:rPr>
        <w:t>T</w:t>
      </w:r>
      <w:r w:rsidR="007D0291">
        <w:rPr>
          <w:rFonts w:ascii="Times New Roman" w:hAnsi="Times New Roman" w:cs="Times New Roman"/>
          <w:sz w:val="24"/>
          <w:szCs w:val="24"/>
          <w:lang w:val="en-US"/>
        </w:rPr>
        <w:t>o date</w:t>
      </w:r>
      <w:r w:rsidR="00563539">
        <w:rPr>
          <w:rFonts w:ascii="Times New Roman" w:hAnsi="Times New Roman" w:cs="Times New Roman"/>
          <w:sz w:val="24"/>
          <w:szCs w:val="24"/>
          <w:lang w:val="en-CA"/>
        </w:rPr>
        <w:t>,</w:t>
      </w:r>
      <w:r w:rsidR="00033D92">
        <w:rPr>
          <w:rFonts w:ascii="Times New Roman" w:hAnsi="Times New Roman" w:cs="Times New Roman"/>
          <w:sz w:val="24"/>
          <w:szCs w:val="24"/>
          <w:lang w:val="en-CA"/>
        </w:rPr>
        <w:t xml:space="preserve"> </w:t>
      </w:r>
      <w:r w:rsidR="00330E52">
        <w:rPr>
          <w:rFonts w:ascii="Times New Roman" w:hAnsi="Times New Roman" w:cs="Times New Roman"/>
          <w:sz w:val="24"/>
          <w:szCs w:val="24"/>
          <w:lang w:val="en-CA"/>
        </w:rPr>
        <w:t xml:space="preserve">only a small amount of case law </w:t>
      </w:r>
      <w:r w:rsidR="00330E52" w:rsidRPr="00490438">
        <w:rPr>
          <w:rFonts w:ascii="Times New Roman" w:hAnsi="Times New Roman" w:cs="Times New Roman"/>
          <w:sz w:val="24"/>
          <w:szCs w:val="24"/>
          <w:shd w:val="clear" w:color="auto" w:fill="FFFFFF"/>
          <w:lang w:val="en-US"/>
        </w:rPr>
        <w:t xml:space="preserve">of the </w:t>
      </w:r>
      <w:r w:rsidR="000A2978">
        <w:rPr>
          <w:rFonts w:ascii="Times New Roman" w:hAnsi="Times New Roman" w:cs="Times New Roman"/>
          <w:sz w:val="24"/>
          <w:szCs w:val="24"/>
          <w:shd w:val="clear" w:color="auto" w:fill="FFFFFF"/>
          <w:lang w:val="en-US"/>
        </w:rPr>
        <w:t>Strasbourg Court</w:t>
      </w:r>
      <w:r w:rsidR="00D02E97">
        <w:rPr>
          <w:rFonts w:ascii="Times New Roman" w:hAnsi="Times New Roman" w:cs="Times New Roman"/>
          <w:sz w:val="24"/>
          <w:szCs w:val="24"/>
          <w:shd w:val="clear" w:color="auto" w:fill="FFFFFF"/>
          <w:lang w:val="en-US"/>
        </w:rPr>
        <w:t xml:space="preserve"> </w:t>
      </w:r>
      <w:r w:rsidR="00330E52">
        <w:rPr>
          <w:rFonts w:ascii="Times New Roman" w:hAnsi="Times New Roman" w:cs="Times New Roman"/>
          <w:sz w:val="24"/>
          <w:szCs w:val="24"/>
          <w:shd w:val="clear" w:color="auto" w:fill="FFFFFF"/>
          <w:lang w:val="en-US"/>
        </w:rPr>
        <w:t xml:space="preserve">exists </w:t>
      </w:r>
      <w:r w:rsidR="00255956">
        <w:rPr>
          <w:rFonts w:ascii="Times New Roman" w:hAnsi="Times New Roman" w:cs="Times New Roman"/>
          <w:sz w:val="24"/>
          <w:szCs w:val="24"/>
          <w:shd w:val="clear" w:color="auto" w:fill="FFFFFF"/>
          <w:lang w:val="en-US"/>
        </w:rPr>
        <w:t>with regard to</w:t>
      </w:r>
      <w:r w:rsidR="00330E52">
        <w:rPr>
          <w:rFonts w:ascii="Times New Roman" w:hAnsi="Times New Roman" w:cs="Times New Roman"/>
          <w:sz w:val="24"/>
          <w:szCs w:val="24"/>
          <w:shd w:val="clear" w:color="auto" w:fill="FFFFFF"/>
          <w:lang w:val="en-US"/>
        </w:rPr>
        <w:t xml:space="preserve"> the right to freedom of movement and the compatibility of freedom-restricting measures with this right</w:t>
      </w:r>
      <w:r w:rsidR="00742546">
        <w:rPr>
          <w:rFonts w:ascii="Times New Roman" w:hAnsi="Times New Roman" w:cs="Times New Roman"/>
          <w:sz w:val="24"/>
          <w:szCs w:val="24"/>
          <w:shd w:val="clear" w:color="auto" w:fill="FFFFFF"/>
          <w:lang w:val="en-US"/>
        </w:rPr>
        <w:t xml:space="preserve"> </w:t>
      </w:r>
      <w:r w:rsidR="000503D8">
        <w:rPr>
          <w:rFonts w:ascii="Times New Roman" w:hAnsi="Times New Roman" w:cs="Times New Roman"/>
          <w:sz w:val="24"/>
          <w:szCs w:val="24"/>
          <w:shd w:val="clear" w:color="auto" w:fill="FFFFFF"/>
          <w:lang w:val="en-US"/>
        </w:rPr>
        <w:t>and other fundamental rights</w:t>
      </w:r>
      <w:r w:rsidR="00255956">
        <w:rPr>
          <w:rFonts w:ascii="Times New Roman" w:hAnsi="Times New Roman" w:cs="Times New Roman"/>
          <w:sz w:val="24"/>
          <w:szCs w:val="24"/>
          <w:shd w:val="clear" w:color="auto" w:fill="FFFFFF"/>
          <w:lang w:val="en-US"/>
        </w:rPr>
        <w:t xml:space="preserve">. </w:t>
      </w:r>
      <w:r w:rsidR="008029B1">
        <w:rPr>
          <w:rFonts w:ascii="Times New Roman" w:hAnsi="Times New Roman" w:cs="Times New Roman"/>
          <w:sz w:val="24"/>
          <w:szCs w:val="24"/>
          <w:shd w:val="clear" w:color="auto" w:fill="FFFFFF"/>
          <w:lang w:val="en-US"/>
        </w:rPr>
        <w:t>Therefore</w:t>
      </w:r>
      <w:r w:rsidR="00255956">
        <w:rPr>
          <w:rFonts w:ascii="Times New Roman" w:hAnsi="Times New Roman" w:cs="Times New Roman"/>
          <w:sz w:val="24"/>
          <w:szCs w:val="24"/>
          <w:shd w:val="clear" w:color="auto" w:fill="FFFFFF"/>
          <w:lang w:val="en-US"/>
        </w:rPr>
        <w:t>, the Strasbourg Court’s case law</w:t>
      </w:r>
      <w:r w:rsidR="00330E52" w:rsidRPr="00490438">
        <w:rPr>
          <w:rFonts w:ascii="Times New Roman" w:hAnsi="Times New Roman" w:cs="Times New Roman"/>
          <w:sz w:val="24"/>
          <w:szCs w:val="24"/>
          <w:shd w:val="clear" w:color="auto" w:fill="FFFFFF"/>
          <w:lang w:val="en-US"/>
        </w:rPr>
        <w:t xml:space="preserve"> is of only</w:t>
      </w:r>
      <w:r w:rsidR="00330E52" w:rsidRPr="00490438">
        <w:rPr>
          <w:rStyle w:val="apple-converted-space"/>
          <w:rFonts w:ascii="Times New Roman" w:hAnsi="Times New Roman" w:cs="Times New Roman"/>
          <w:sz w:val="24"/>
          <w:szCs w:val="24"/>
          <w:shd w:val="clear" w:color="auto" w:fill="FFFFFF"/>
          <w:lang w:val="en-US"/>
        </w:rPr>
        <w:t> </w:t>
      </w:r>
      <w:r w:rsidR="00330E52" w:rsidRPr="00490438">
        <w:rPr>
          <w:rStyle w:val="Uwydatnienie"/>
          <w:rFonts w:ascii="Times New Roman" w:hAnsi="Times New Roman" w:cs="Times New Roman"/>
          <w:bCs/>
          <w:i w:val="0"/>
          <w:iCs w:val="0"/>
          <w:sz w:val="24"/>
          <w:szCs w:val="24"/>
          <w:shd w:val="clear" w:color="auto" w:fill="FFFFFF"/>
          <w:lang w:val="en-US"/>
        </w:rPr>
        <w:t>limited</w:t>
      </w:r>
      <w:r w:rsidR="00330E52" w:rsidRPr="00490438">
        <w:rPr>
          <w:rStyle w:val="apple-converted-space"/>
          <w:rFonts w:ascii="Times New Roman" w:hAnsi="Times New Roman" w:cs="Times New Roman"/>
          <w:sz w:val="24"/>
          <w:szCs w:val="24"/>
          <w:shd w:val="clear" w:color="auto" w:fill="FFFFFF"/>
          <w:lang w:val="en-US"/>
        </w:rPr>
        <w:t> </w:t>
      </w:r>
      <w:r w:rsidR="00330E52" w:rsidRPr="00490438">
        <w:rPr>
          <w:rFonts w:ascii="Times New Roman" w:hAnsi="Times New Roman" w:cs="Times New Roman"/>
          <w:sz w:val="24"/>
          <w:szCs w:val="24"/>
          <w:shd w:val="clear" w:color="auto" w:fill="FFFFFF"/>
          <w:lang w:val="en-US"/>
        </w:rPr>
        <w:t>help</w:t>
      </w:r>
      <w:r w:rsidR="003A71D5">
        <w:rPr>
          <w:rFonts w:ascii="Times New Roman" w:hAnsi="Times New Roman" w:cs="Times New Roman"/>
          <w:sz w:val="24"/>
          <w:szCs w:val="24"/>
          <w:shd w:val="clear" w:color="auto" w:fill="FFFFFF"/>
          <w:lang w:val="en-US"/>
        </w:rPr>
        <w:t xml:space="preserve"> and </w:t>
      </w:r>
      <w:r w:rsidR="003A71D5">
        <w:rPr>
          <w:rFonts w:ascii="Times New Roman" w:hAnsi="Times New Roman" w:cs="Times New Roman"/>
          <w:sz w:val="24"/>
          <w:szCs w:val="24"/>
          <w:lang w:val="en-CA"/>
        </w:rPr>
        <w:t>offers</w:t>
      </w:r>
      <w:r w:rsidR="000503D8">
        <w:rPr>
          <w:rFonts w:ascii="Times New Roman" w:hAnsi="Times New Roman" w:cs="Times New Roman"/>
          <w:sz w:val="24"/>
          <w:szCs w:val="24"/>
          <w:lang w:val="en-CA"/>
        </w:rPr>
        <w:t xml:space="preserve"> </w:t>
      </w:r>
      <w:r w:rsidR="003A71D5">
        <w:rPr>
          <w:rFonts w:ascii="Times New Roman" w:hAnsi="Times New Roman" w:cs="Times New Roman"/>
          <w:sz w:val="24"/>
          <w:szCs w:val="24"/>
          <w:lang w:val="en-CA"/>
        </w:rPr>
        <w:t>only limited</w:t>
      </w:r>
      <w:r w:rsidR="00330E52" w:rsidRPr="000503D8">
        <w:rPr>
          <w:rFonts w:ascii="Times New Roman" w:hAnsi="Times New Roman" w:cs="Times New Roman"/>
          <w:sz w:val="24"/>
          <w:szCs w:val="24"/>
          <w:lang w:val="en-CA"/>
        </w:rPr>
        <w:t xml:space="preserve"> inspiration</w:t>
      </w:r>
      <w:r w:rsidR="00330E52" w:rsidRPr="00490438">
        <w:rPr>
          <w:rFonts w:ascii="Times New Roman" w:hAnsi="Times New Roman" w:cs="Times New Roman"/>
          <w:sz w:val="24"/>
          <w:szCs w:val="24"/>
          <w:lang w:val="en-CA"/>
        </w:rPr>
        <w:t xml:space="preserve"> for a </w:t>
      </w:r>
      <w:r w:rsidR="00330E52">
        <w:rPr>
          <w:rFonts w:ascii="Times New Roman" w:hAnsi="Times New Roman" w:cs="Times New Roman"/>
          <w:sz w:val="24"/>
          <w:szCs w:val="24"/>
          <w:lang w:val="en-CA"/>
        </w:rPr>
        <w:t xml:space="preserve">clear </w:t>
      </w:r>
      <w:r w:rsidR="00255956">
        <w:rPr>
          <w:rFonts w:ascii="Times New Roman" w:hAnsi="Times New Roman" w:cs="Times New Roman"/>
          <w:sz w:val="24"/>
          <w:szCs w:val="24"/>
          <w:lang w:val="en-CA"/>
        </w:rPr>
        <w:t xml:space="preserve">and </w:t>
      </w:r>
      <w:r w:rsidR="00330E52" w:rsidRPr="00490438">
        <w:rPr>
          <w:rFonts w:ascii="Times New Roman" w:hAnsi="Times New Roman" w:cs="Times New Roman"/>
          <w:sz w:val="24"/>
          <w:szCs w:val="24"/>
          <w:lang w:val="en-CA"/>
        </w:rPr>
        <w:t>general</w:t>
      </w:r>
      <w:r w:rsidR="008029B1">
        <w:rPr>
          <w:rFonts w:ascii="Times New Roman" w:hAnsi="Times New Roman" w:cs="Times New Roman"/>
          <w:sz w:val="24"/>
          <w:szCs w:val="24"/>
          <w:lang w:val="en-CA"/>
        </w:rPr>
        <w:t xml:space="preserve"> assessment</w:t>
      </w:r>
      <w:r w:rsidR="00330E52" w:rsidRPr="00490438">
        <w:rPr>
          <w:rFonts w:ascii="Times New Roman" w:hAnsi="Times New Roman" w:cs="Times New Roman"/>
          <w:sz w:val="24"/>
          <w:szCs w:val="24"/>
          <w:lang w:val="en-CA"/>
        </w:rPr>
        <w:t xml:space="preserve"> </w:t>
      </w:r>
      <w:r w:rsidR="008029B1">
        <w:rPr>
          <w:rFonts w:ascii="Times New Roman" w:hAnsi="Times New Roman" w:cs="Times New Roman"/>
          <w:sz w:val="24"/>
          <w:szCs w:val="24"/>
          <w:lang w:val="en-CA"/>
        </w:rPr>
        <w:t>framework.</w:t>
      </w:r>
      <w:r w:rsidR="00330E52">
        <w:rPr>
          <w:rFonts w:ascii="Times New Roman" w:hAnsi="Times New Roman" w:cs="Times New Roman"/>
          <w:sz w:val="24"/>
          <w:szCs w:val="24"/>
          <w:shd w:val="clear" w:color="auto" w:fill="FFFFFF"/>
          <w:lang w:val="en-US"/>
        </w:rPr>
        <w:t xml:space="preserve"> </w:t>
      </w:r>
      <w:r w:rsidR="00CD34C3" w:rsidRPr="009031C0">
        <w:rPr>
          <w:rFonts w:ascii="Times New Roman" w:hAnsi="Times New Roman" w:cs="Times New Roman"/>
          <w:sz w:val="24"/>
          <w:szCs w:val="24"/>
          <w:lang w:val="en-CA"/>
        </w:rPr>
        <w:t xml:space="preserve">However, </w:t>
      </w:r>
      <w:r w:rsidR="008029B1">
        <w:rPr>
          <w:rFonts w:ascii="Times New Roman" w:hAnsi="Times New Roman" w:cs="Times New Roman"/>
          <w:sz w:val="24"/>
          <w:szCs w:val="24"/>
          <w:lang w:val="en-CA"/>
        </w:rPr>
        <w:t>such a</w:t>
      </w:r>
      <w:r w:rsidR="00CD34C3" w:rsidRPr="009031C0">
        <w:rPr>
          <w:rFonts w:ascii="Times New Roman" w:hAnsi="Times New Roman" w:cs="Times New Roman"/>
          <w:sz w:val="24"/>
          <w:szCs w:val="24"/>
          <w:lang w:val="en-CA"/>
        </w:rPr>
        <w:t xml:space="preserve"> framework is essential to </w:t>
      </w:r>
      <w:r w:rsidR="00571696">
        <w:rPr>
          <w:rFonts w:ascii="Times New Roman" w:hAnsi="Times New Roman" w:cs="Times New Roman"/>
          <w:sz w:val="24"/>
          <w:szCs w:val="24"/>
          <w:lang w:val="en-CA"/>
        </w:rPr>
        <w:t>strike</w:t>
      </w:r>
      <w:r w:rsidR="00CD34C3" w:rsidRPr="009031C0">
        <w:rPr>
          <w:rFonts w:ascii="Times New Roman" w:hAnsi="Times New Roman" w:cs="Times New Roman"/>
          <w:sz w:val="24"/>
          <w:szCs w:val="24"/>
          <w:lang w:val="en-CA"/>
        </w:rPr>
        <w:t xml:space="preserve"> a good balance between</w:t>
      </w:r>
      <w:r w:rsidR="00571696">
        <w:rPr>
          <w:rFonts w:ascii="Times New Roman" w:hAnsi="Times New Roman" w:cs="Times New Roman"/>
          <w:sz w:val="24"/>
          <w:szCs w:val="24"/>
          <w:lang w:val="en-CA"/>
        </w:rPr>
        <w:t xml:space="preserve"> </w:t>
      </w:r>
      <w:r w:rsidR="00CD34C3" w:rsidRPr="009031C0">
        <w:rPr>
          <w:rFonts w:ascii="Times New Roman" w:hAnsi="Times New Roman" w:cs="Times New Roman"/>
          <w:sz w:val="24"/>
          <w:szCs w:val="24"/>
          <w:lang w:val="en-CA"/>
        </w:rPr>
        <w:t>the need to maintain public order and</w:t>
      </w:r>
      <w:r w:rsidR="00571696">
        <w:rPr>
          <w:rFonts w:ascii="Times New Roman" w:hAnsi="Times New Roman" w:cs="Times New Roman"/>
          <w:sz w:val="24"/>
          <w:szCs w:val="24"/>
          <w:lang w:val="en-CA"/>
        </w:rPr>
        <w:t xml:space="preserve"> </w:t>
      </w:r>
      <w:r w:rsidRPr="009031C0">
        <w:rPr>
          <w:rFonts w:ascii="Times New Roman" w:hAnsi="Times New Roman" w:cs="Times New Roman"/>
          <w:sz w:val="24"/>
          <w:szCs w:val="24"/>
          <w:lang w:val="en-CA"/>
        </w:rPr>
        <w:t xml:space="preserve">our fundamental rights and freedoms, more specifically </w:t>
      </w:r>
      <w:r w:rsidR="00CD34C3" w:rsidRPr="009031C0">
        <w:rPr>
          <w:rFonts w:ascii="Times New Roman" w:hAnsi="Times New Roman" w:cs="Times New Roman"/>
          <w:sz w:val="24"/>
          <w:szCs w:val="24"/>
          <w:lang w:val="en-CA"/>
        </w:rPr>
        <w:t>the right to freedom of movem</w:t>
      </w:r>
      <w:r w:rsidRPr="009031C0">
        <w:rPr>
          <w:rFonts w:ascii="Times New Roman" w:hAnsi="Times New Roman" w:cs="Times New Roman"/>
          <w:sz w:val="24"/>
          <w:szCs w:val="24"/>
          <w:lang w:val="en-CA"/>
        </w:rPr>
        <w:t>ent.</w:t>
      </w:r>
    </w:p>
    <w:p w14:paraId="48916A46" w14:textId="58576E97" w:rsidR="00B7455E" w:rsidRDefault="00B7455E" w:rsidP="00B7455E">
      <w:pPr>
        <w:jc w:val="both"/>
        <w:rPr>
          <w:rFonts w:ascii="Times New Roman" w:eastAsia="Times New Roman" w:hAnsi="Times New Roman" w:cs="Times New Roman"/>
          <w:sz w:val="24"/>
          <w:szCs w:val="24"/>
          <w:lang w:val="en-CA" w:eastAsia="nl-BE"/>
        </w:rPr>
      </w:pPr>
      <w:r w:rsidRPr="00632C49">
        <w:rPr>
          <w:rFonts w:ascii="Times New Roman" w:hAnsi="Times New Roman" w:cs="Times New Roman"/>
          <w:sz w:val="24"/>
          <w:szCs w:val="24"/>
          <w:lang w:val="en-US"/>
        </w:rPr>
        <w:t>That freedom</w:t>
      </w:r>
      <w:r>
        <w:rPr>
          <w:rFonts w:ascii="Times New Roman" w:hAnsi="Times New Roman" w:cs="Times New Roman"/>
          <w:sz w:val="24"/>
          <w:szCs w:val="24"/>
          <w:lang w:val="en-US"/>
        </w:rPr>
        <w:t>-</w:t>
      </w:r>
      <w:r w:rsidRPr="00632C49">
        <w:rPr>
          <w:rFonts w:ascii="Times New Roman" w:hAnsi="Times New Roman" w:cs="Times New Roman"/>
          <w:sz w:val="24"/>
          <w:szCs w:val="24"/>
          <w:lang w:val="en-US"/>
        </w:rPr>
        <w:t>restricting measure</w:t>
      </w:r>
      <w:r w:rsidR="00255956">
        <w:rPr>
          <w:rFonts w:ascii="Times New Roman" w:hAnsi="Times New Roman" w:cs="Times New Roman"/>
          <w:sz w:val="24"/>
          <w:szCs w:val="24"/>
          <w:lang w:val="en-US"/>
        </w:rPr>
        <w:t>s</w:t>
      </w:r>
      <w:r w:rsidRPr="00632C49">
        <w:rPr>
          <w:rFonts w:ascii="Times New Roman" w:hAnsi="Times New Roman" w:cs="Times New Roman"/>
          <w:sz w:val="24"/>
          <w:szCs w:val="24"/>
          <w:lang w:val="en-US"/>
        </w:rPr>
        <w:t xml:space="preserve"> </w:t>
      </w:r>
      <w:r w:rsidR="00411BA9">
        <w:rPr>
          <w:rFonts w:ascii="Times New Roman" w:hAnsi="Times New Roman" w:cs="Times New Roman"/>
          <w:sz w:val="24"/>
          <w:szCs w:val="24"/>
          <w:lang w:val="en-US"/>
        </w:rPr>
        <w:t>find a sufficient basis in</w:t>
      </w:r>
      <w:r w:rsidRPr="00632C49">
        <w:rPr>
          <w:rFonts w:ascii="Times New Roman" w:hAnsi="Times New Roman" w:cs="Times New Roman"/>
          <w:sz w:val="24"/>
          <w:szCs w:val="24"/>
          <w:lang w:val="en-US"/>
        </w:rPr>
        <w:t xml:space="preserve"> the law </w:t>
      </w:r>
      <w:r w:rsidRPr="00E75C4D">
        <w:rPr>
          <w:rFonts w:ascii="Times New Roman" w:hAnsi="Times New Roman" w:cs="Times New Roman"/>
          <w:sz w:val="24"/>
          <w:szCs w:val="24"/>
          <w:lang w:val="en-US"/>
        </w:rPr>
        <w:t>and ha</w:t>
      </w:r>
      <w:r w:rsidR="00255956">
        <w:rPr>
          <w:rFonts w:ascii="Times New Roman" w:hAnsi="Times New Roman" w:cs="Times New Roman"/>
          <w:sz w:val="24"/>
          <w:szCs w:val="24"/>
          <w:lang w:val="en-US"/>
        </w:rPr>
        <w:t>ve</w:t>
      </w:r>
      <w:r w:rsidRPr="00E75C4D">
        <w:rPr>
          <w:rFonts w:ascii="Times New Roman" w:hAnsi="Times New Roman" w:cs="Times New Roman"/>
          <w:sz w:val="24"/>
          <w:szCs w:val="24"/>
          <w:lang w:val="en-US"/>
        </w:rPr>
        <w:t xml:space="preserve"> a legitimate aim is not </w:t>
      </w:r>
      <w:r w:rsidR="00571696" w:rsidRPr="00E75C4D">
        <w:rPr>
          <w:rFonts w:ascii="Times New Roman" w:hAnsi="Times New Roman" w:cs="Times New Roman"/>
          <w:sz w:val="24"/>
          <w:szCs w:val="24"/>
          <w:lang w:val="en-US"/>
        </w:rPr>
        <w:t xml:space="preserve">generally </w:t>
      </w:r>
      <w:r w:rsidRPr="00E75C4D">
        <w:rPr>
          <w:rFonts w:ascii="Times New Roman" w:hAnsi="Times New Roman" w:cs="Times New Roman"/>
          <w:sz w:val="24"/>
          <w:szCs w:val="24"/>
          <w:lang w:val="en-US"/>
        </w:rPr>
        <w:t>questioned</w:t>
      </w:r>
      <w:r w:rsidRPr="00E75C4D">
        <w:rPr>
          <w:rStyle w:val="Odwoanieprzypisudolnego"/>
          <w:rFonts w:ascii="Times New Roman" w:hAnsi="Times New Roman" w:cs="Times New Roman"/>
          <w:sz w:val="24"/>
          <w:szCs w:val="24"/>
          <w:lang w:val="en-US"/>
        </w:rPr>
        <w:footnoteReference w:id="26"/>
      </w:r>
      <w:r w:rsidR="005F1E8D">
        <w:rPr>
          <w:rFonts w:ascii="Times New Roman" w:hAnsi="Times New Roman" w:cs="Times New Roman"/>
          <w:sz w:val="24"/>
          <w:szCs w:val="24"/>
          <w:lang w:val="en-US"/>
        </w:rPr>
        <w:t xml:space="preserve">. </w:t>
      </w:r>
      <w:r w:rsidR="0072573A">
        <w:rPr>
          <w:rFonts w:ascii="Times New Roman" w:hAnsi="Times New Roman" w:cs="Times New Roman"/>
          <w:sz w:val="24"/>
          <w:szCs w:val="24"/>
          <w:lang w:val="en-US"/>
        </w:rPr>
        <w:t>T</w:t>
      </w:r>
      <w:r w:rsidR="000B15BE">
        <w:rPr>
          <w:rFonts w:ascii="Times New Roman" w:hAnsi="Times New Roman" w:cs="Times New Roman"/>
          <w:sz w:val="24"/>
          <w:szCs w:val="24"/>
          <w:lang w:val="en-US"/>
        </w:rPr>
        <w:t xml:space="preserve">he </w:t>
      </w:r>
      <w:r w:rsidR="0072573A">
        <w:rPr>
          <w:rFonts w:ascii="Times New Roman" w:hAnsi="Times New Roman" w:cs="Times New Roman"/>
          <w:sz w:val="24"/>
          <w:szCs w:val="24"/>
          <w:lang w:val="en-US"/>
        </w:rPr>
        <w:t xml:space="preserve">Belgian </w:t>
      </w:r>
      <w:r w:rsidR="000B15BE">
        <w:rPr>
          <w:rFonts w:ascii="Times New Roman" w:hAnsi="Times New Roman" w:cs="Times New Roman"/>
          <w:sz w:val="24"/>
          <w:szCs w:val="24"/>
          <w:lang w:val="en-US"/>
        </w:rPr>
        <w:t xml:space="preserve">prohibition of place and the </w:t>
      </w:r>
      <w:r w:rsidR="00C45054">
        <w:rPr>
          <w:rFonts w:ascii="Times New Roman" w:hAnsi="Times New Roman" w:cs="Times New Roman"/>
          <w:sz w:val="24"/>
          <w:szCs w:val="24"/>
          <w:lang w:val="en-US"/>
        </w:rPr>
        <w:t>UK</w:t>
      </w:r>
      <w:r w:rsidR="0072573A">
        <w:rPr>
          <w:rFonts w:ascii="Times New Roman" w:hAnsi="Times New Roman" w:cs="Times New Roman"/>
          <w:sz w:val="24"/>
          <w:szCs w:val="24"/>
          <w:lang w:val="en-US"/>
        </w:rPr>
        <w:t xml:space="preserve"> </w:t>
      </w:r>
      <w:r w:rsidR="000B15BE">
        <w:rPr>
          <w:rFonts w:ascii="Times New Roman" w:hAnsi="Times New Roman" w:cs="Times New Roman"/>
          <w:sz w:val="24"/>
          <w:szCs w:val="24"/>
          <w:lang w:val="en-US"/>
        </w:rPr>
        <w:t xml:space="preserve">direction to leave </w:t>
      </w:r>
      <w:r w:rsidR="0072573A">
        <w:rPr>
          <w:rFonts w:ascii="Times New Roman" w:hAnsi="Times New Roman" w:cs="Times New Roman"/>
          <w:sz w:val="24"/>
          <w:szCs w:val="24"/>
          <w:lang w:val="en-US"/>
        </w:rPr>
        <w:t xml:space="preserve">both </w:t>
      </w:r>
      <w:r w:rsidR="000B15BE">
        <w:rPr>
          <w:rFonts w:ascii="Times New Roman" w:hAnsi="Times New Roman" w:cs="Times New Roman"/>
          <w:sz w:val="24"/>
          <w:szCs w:val="24"/>
          <w:lang w:val="en-US"/>
        </w:rPr>
        <w:t xml:space="preserve">have a </w:t>
      </w:r>
      <w:r w:rsidRPr="00632C49">
        <w:rPr>
          <w:rFonts w:ascii="Times New Roman" w:hAnsi="Times New Roman" w:cs="Times New Roman"/>
          <w:sz w:val="24"/>
          <w:szCs w:val="24"/>
          <w:lang w:val="en-US"/>
        </w:rPr>
        <w:t>basis in national law</w:t>
      </w:r>
      <w:r>
        <w:rPr>
          <w:rStyle w:val="Odwoanieprzypisudolnego"/>
          <w:rFonts w:ascii="Times New Roman" w:eastAsia="Times New Roman" w:hAnsi="Times New Roman" w:cs="Times New Roman"/>
          <w:sz w:val="24"/>
          <w:szCs w:val="24"/>
          <w:lang w:val="en-CA" w:eastAsia="nl-BE"/>
        </w:rPr>
        <w:footnoteReference w:id="27"/>
      </w:r>
      <w:r w:rsidRPr="00632C49">
        <w:rPr>
          <w:rFonts w:ascii="Times New Roman" w:eastAsia="Times New Roman" w:hAnsi="Times New Roman" w:cs="Times New Roman"/>
          <w:sz w:val="24"/>
          <w:szCs w:val="24"/>
          <w:lang w:val="en-CA" w:eastAsia="nl-BE"/>
        </w:rPr>
        <w:t xml:space="preserve">. </w:t>
      </w:r>
      <w:r w:rsidR="00255956">
        <w:rPr>
          <w:rFonts w:ascii="Times New Roman" w:eastAsia="Times New Roman" w:hAnsi="Times New Roman" w:cs="Times New Roman"/>
          <w:sz w:val="24"/>
          <w:szCs w:val="24"/>
          <w:lang w:val="en-CA" w:eastAsia="nl-BE"/>
        </w:rPr>
        <w:t xml:space="preserve">In addition, given the fact that </w:t>
      </w:r>
      <w:r w:rsidR="0072573A">
        <w:rPr>
          <w:rFonts w:ascii="Times New Roman" w:eastAsia="Times New Roman" w:hAnsi="Times New Roman" w:cs="Times New Roman"/>
          <w:sz w:val="24"/>
          <w:szCs w:val="24"/>
          <w:lang w:val="en-CA" w:eastAsia="nl-BE"/>
        </w:rPr>
        <w:t>t</w:t>
      </w:r>
      <w:r w:rsidRPr="00B74533">
        <w:rPr>
          <w:rFonts w:ascii="Times New Roman" w:eastAsia="Times New Roman" w:hAnsi="Times New Roman" w:cs="Times New Roman"/>
          <w:sz w:val="24"/>
          <w:szCs w:val="24"/>
          <w:lang w:val="en-CA" w:eastAsia="nl-BE"/>
        </w:rPr>
        <w:t xml:space="preserve">he </w:t>
      </w:r>
      <w:r w:rsidR="005F1E8D" w:rsidRPr="00B74533">
        <w:rPr>
          <w:rFonts w:ascii="Times New Roman" w:eastAsia="Times New Roman" w:hAnsi="Times New Roman" w:cs="Times New Roman"/>
          <w:sz w:val="24"/>
          <w:szCs w:val="24"/>
          <w:lang w:val="en-CA" w:eastAsia="nl-BE"/>
        </w:rPr>
        <w:t xml:space="preserve">legitimate aims </w:t>
      </w:r>
      <w:r w:rsidR="000254C2">
        <w:rPr>
          <w:rFonts w:ascii="Times New Roman" w:eastAsia="Times New Roman" w:hAnsi="Times New Roman" w:cs="Times New Roman"/>
          <w:sz w:val="24"/>
          <w:szCs w:val="24"/>
          <w:lang w:val="en-CA" w:eastAsia="nl-BE"/>
        </w:rPr>
        <w:t>mentioned</w:t>
      </w:r>
      <w:r w:rsidR="005F1E8D" w:rsidRPr="00B74533">
        <w:rPr>
          <w:rFonts w:ascii="Times New Roman" w:eastAsia="Times New Roman" w:hAnsi="Times New Roman" w:cs="Times New Roman"/>
          <w:sz w:val="24"/>
          <w:szCs w:val="24"/>
          <w:lang w:val="en-CA" w:eastAsia="nl-BE"/>
        </w:rPr>
        <w:t xml:space="preserve"> </w:t>
      </w:r>
      <w:r w:rsidR="005F1E8D" w:rsidRPr="000254C2">
        <w:rPr>
          <w:rFonts w:ascii="Times New Roman" w:eastAsia="Times New Roman" w:hAnsi="Times New Roman" w:cs="Times New Roman"/>
          <w:sz w:val="24"/>
          <w:szCs w:val="24"/>
          <w:lang w:val="en-CA" w:eastAsia="nl-BE"/>
        </w:rPr>
        <w:t xml:space="preserve">in </w:t>
      </w:r>
      <w:r w:rsidR="00571696">
        <w:rPr>
          <w:rFonts w:ascii="Times New Roman" w:eastAsia="Times New Roman" w:hAnsi="Times New Roman" w:cs="Times New Roman"/>
          <w:sz w:val="24"/>
          <w:szCs w:val="24"/>
          <w:lang w:val="en-CA" w:eastAsia="nl-BE"/>
        </w:rPr>
        <w:t>Article</w:t>
      </w:r>
      <w:r w:rsidR="005F1E8D" w:rsidRPr="000254C2">
        <w:rPr>
          <w:rFonts w:ascii="Times New Roman" w:eastAsia="Times New Roman" w:hAnsi="Times New Roman" w:cs="Times New Roman"/>
          <w:sz w:val="24"/>
          <w:szCs w:val="24"/>
          <w:lang w:val="en-CA" w:eastAsia="nl-BE"/>
        </w:rPr>
        <w:t xml:space="preserve"> 2 FAP</w:t>
      </w:r>
      <w:r w:rsidR="00CF7511" w:rsidRPr="000254C2">
        <w:rPr>
          <w:rFonts w:ascii="Times New Roman" w:eastAsia="Times New Roman" w:hAnsi="Times New Roman" w:cs="Times New Roman"/>
          <w:sz w:val="24"/>
          <w:szCs w:val="24"/>
          <w:lang w:val="en-CA" w:eastAsia="nl-BE"/>
        </w:rPr>
        <w:t xml:space="preserve"> </w:t>
      </w:r>
      <w:r w:rsidR="000254C2">
        <w:rPr>
          <w:rFonts w:ascii="Times New Roman" w:eastAsia="Times New Roman" w:hAnsi="Times New Roman" w:cs="Times New Roman"/>
          <w:sz w:val="24"/>
          <w:szCs w:val="24"/>
          <w:lang w:val="en-CA" w:eastAsia="nl-BE"/>
        </w:rPr>
        <w:t xml:space="preserve">as well as </w:t>
      </w:r>
      <w:r w:rsidR="00571696">
        <w:rPr>
          <w:rFonts w:ascii="Times New Roman" w:eastAsia="Times New Roman" w:hAnsi="Times New Roman" w:cs="Times New Roman"/>
          <w:sz w:val="24"/>
          <w:szCs w:val="24"/>
          <w:lang w:val="en-CA" w:eastAsia="nl-BE"/>
        </w:rPr>
        <w:t>Article</w:t>
      </w:r>
      <w:r w:rsidR="000254C2" w:rsidRPr="000254C2">
        <w:rPr>
          <w:rFonts w:ascii="Times New Roman" w:eastAsia="Times New Roman" w:hAnsi="Times New Roman" w:cs="Times New Roman"/>
          <w:sz w:val="24"/>
          <w:szCs w:val="24"/>
          <w:lang w:val="en-CA" w:eastAsia="nl-BE"/>
        </w:rPr>
        <w:t>s 8, 10 and 11 ECHR</w:t>
      </w:r>
      <w:r w:rsidR="00CF7511" w:rsidRPr="000254C2">
        <w:rPr>
          <w:rFonts w:ascii="Times New Roman" w:eastAsia="Times New Roman" w:hAnsi="Times New Roman" w:cs="Times New Roman"/>
          <w:sz w:val="24"/>
          <w:szCs w:val="24"/>
          <w:lang w:val="en-CA" w:eastAsia="nl-BE"/>
        </w:rPr>
        <w:t xml:space="preserve"> </w:t>
      </w:r>
      <w:r w:rsidRPr="00B74533">
        <w:rPr>
          <w:rFonts w:ascii="Times New Roman" w:eastAsia="Times New Roman" w:hAnsi="Times New Roman" w:cs="Times New Roman"/>
          <w:sz w:val="24"/>
          <w:szCs w:val="24"/>
          <w:lang w:val="en-CA" w:eastAsia="nl-BE"/>
        </w:rPr>
        <w:t>are interpreted</w:t>
      </w:r>
      <w:r>
        <w:rPr>
          <w:rFonts w:ascii="Times New Roman" w:eastAsia="Times New Roman" w:hAnsi="Times New Roman" w:cs="Times New Roman"/>
          <w:sz w:val="24"/>
          <w:szCs w:val="24"/>
          <w:lang w:val="en-CA" w:eastAsia="nl-BE"/>
        </w:rPr>
        <w:t xml:space="preserve"> </w:t>
      </w:r>
      <w:r w:rsidR="00571696" w:rsidRPr="00B74533">
        <w:rPr>
          <w:rFonts w:ascii="Times New Roman" w:eastAsia="Times New Roman" w:hAnsi="Times New Roman" w:cs="Times New Roman"/>
          <w:sz w:val="24"/>
          <w:szCs w:val="24"/>
          <w:lang w:val="en-CA" w:eastAsia="nl-BE"/>
        </w:rPr>
        <w:t xml:space="preserve">broadly </w:t>
      </w:r>
      <w:r w:rsidR="005F1E8D">
        <w:rPr>
          <w:rFonts w:ascii="Times New Roman" w:eastAsia="Times New Roman" w:hAnsi="Times New Roman" w:cs="Times New Roman"/>
          <w:sz w:val="24"/>
          <w:szCs w:val="24"/>
          <w:lang w:val="en-CA" w:eastAsia="nl-BE"/>
        </w:rPr>
        <w:t>by the Strasbourg Court</w:t>
      </w:r>
      <w:r w:rsidRPr="00A82735">
        <w:rPr>
          <w:rStyle w:val="Odwoanieprzypisudolnego"/>
          <w:rFonts w:ascii="Times New Roman" w:hAnsi="Times New Roman" w:cs="Times New Roman"/>
          <w:sz w:val="24"/>
          <w:szCs w:val="24"/>
        </w:rPr>
        <w:footnoteReference w:id="28"/>
      </w:r>
      <w:r w:rsidR="005F1E8D">
        <w:rPr>
          <w:rFonts w:ascii="Times New Roman" w:eastAsia="Times New Roman" w:hAnsi="Times New Roman" w:cs="Times New Roman"/>
          <w:sz w:val="24"/>
          <w:szCs w:val="24"/>
          <w:lang w:val="en-CA" w:eastAsia="nl-BE"/>
        </w:rPr>
        <w:t>,</w:t>
      </w:r>
      <w:r>
        <w:rPr>
          <w:rFonts w:ascii="Times New Roman" w:eastAsia="Times New Roman" w:hAnsi="Times New Roman" w:cs="Times New Roman"/>
          <w:sz w:val="24"/>
          <w:szCs w:val="24"/>
          <w:lang w:val="en-CA" w:eastAsia="nl-BE"/>
        </w:rPr>
        <w:t xml:space="preserve"> it can be </w:t>
      </w:r>
      <w:r w:rsidR="0072573A">
        <w:rPr>
          <w:rFonts w:ascii="Times New Roman" w:eastAsia="Times New Roman" w:hAnsi="Times New Roman" w:cs="Times New Roman"/>
          <w:sz w:val="24"/>
          <w:szCs w:val="24"/>
          <w:lang w:val="en-CA" w:eastAsia="nl-BE"/>
        </w:rPr>
        <w:t>assumed</w:t>
      </w:r>
      <w:r>
        <w:rPr>
          <w:rFonts w:ascii="Times New Roman" w:eastAsia="Times New Roman" w:hAnsi="Times New Roman" w:cs="Times New Roman"/>
          <w:sz w:val="24"/>
          <w:szCs w:val="24"/>
          <w:lang w:val="en-CA" w:eastAsia="nl-BE"/>
        </w:rPr>
        <w:t xml:space="preserve"> that both area-based restriction</w:t>
      </w:r>
      <w:r w:rsidR="005F1E8D">
        <w:rPr>
          <w:rFonts w:ascii="Times New Roman" w:eastAsia="Times New Roman" w:hAnsi="Times New Roman" w:cs="Times New Roman"/>
          <w:sz w:val="24"/>
          <w:szCs w:val="24"/>
          <w:lang w:val="en-CA" w:eastAsia="nl-BE"/>
        </w:rPr>
        <w:t>s</w:t>
      </w:r>
      <w:r>
        <w:rPr>
          <w:rFonts w:ascii="Times New Roman" w:eastAsia="Times New Roman" w:hAnsi="Times New Roman" w:cs="Times New Roman"/>
          <w:sz w:val="24"/>
          <w:szCs w:val="24"/>
          <w:lang w:val="en-CA" w:eastAsia="nl-BE"/>
        </w:rPr>
        <w:t xml:space="preserve"> pursue a legitimate </w:t>
      </w:r>
      <w:r w:rsidRPr="00B74533">
        <w:rPr>
          <w:rFonts w:ascii="Times New Roman" w:eastAsia="Times New Roman" w:hAnsi="Times New Roman" w:cs="Times New Roman"/>
          <w:sz w:val="24"/>
          <w:szCs w:val="24"/>
          <w:lang w:val="en-CA" w:eastAsia="nl-BE"/>
        </w:rPr>
        <w:t>aim</w:t>
      </w:r>
      <w:r w:rsidR="005F1E8D" w:rsidRPr="00B74533">
        <w:rPr>
          <w:rFonts w:ascii="Times New Roman" w:eastAsia="Times New Roman" w:hAnsi="Times New Roman" w:cs="Times New Roman"/>
          <w:sz w:val="24"/>
          <w:szCs w:val="24"/>
          <w:lang w:val="en-CA" w:eastAsia="nl-BE"/>
        </w:rPr>
        <w:t xml:space="preserve">, </w:t>
      </w:r>
      <w:r w:rsidR="000254C2">
        <w:rPr>
          <w:rFonts w:ascii="Times New Roman" w:eastAsia="Times New Roman" w:hAnsi="Times New Roman" w:cs="Times New Roman"/>
          <w:sz w:val="24"/>
          <w:szCs w:val="24"/>
          <w:lang w:val="en-CA" w:eastAsia="nl-BE"/>
        </w:rPr>
        <w:t xml:space="preserve">namely </w:t>
      </w:r>
      <w:r w:rsidR="00DC075F">
        <w:rPr>
          <w:rFonts w:ascii="Times New Roman" w:eastAsia="Times New Roman" w:hAnsi="Times New Roman" w:cs="Times New Roman"/>
          <w:sz w:val="24"/>
          <w:szCs w:val="24"/>
          <w:lang w:val="en-CA" w:eastAsia="nl-BE"/>
        </w:rPr>
        <w:t>the maintenance of</w:t>
      </w:r>
      <w:r w:rsidR="005F1E8D" w:rsidRPr="00B74533">
        <w:rPr>
          <w:rFonts w:ascii="Times New Roman" w:eastAsia="Times New Roman" w:hAnsi="Times New Roman" w:cs="Times New Roman"/>
          <w:sz w:val="24"/>
          <w:szCs w:val="24"/>
          <w:lang w:val="en-CA" w:eastAsia="nl-BE"/>
        </w:rPr>
        <w:t xml:space="preserve"> </w:t>
      </w:r>
      <w:r w:rsidR="00222517">
        <w:rPr>
          <w:rFonts w:ascii="Times New Roman" w:eastAsia="Times New Roman" w:hAnsi="Times New Roman" w:cs="Times New Roman"/>
          <w:sz w:val="24"/>
          <w:szCs w:val="24"/>
          <w:lang w:val="en-CA" w:eastAsia="nl-BE"/>
        </w:rPr>
        <w:t>public order</w:t>
      </w:r>
      <w:r w:rsidR="000B15BE">
        <w:rPr>
          <w:rFonts w:ascii="Times New Roman" w:eastAsia="Times New Roman" w:hAnsi="Times New Roman" w:cs="Times New Roman"/>
          <w:sz w:val="24"/>
          <w:szCs w:val="24"/>
          <w:lang w:val="en-CA" w:eastAsia="nl-BE"/>
        </w:rPr>
        <w:t>. After all,</w:t>
      </w:r>
      <w:r w:rsidRPr="00B74533">
        <w:rPr>
          <w:rFonts w:ascii="Times New Roman" w:eastAsia="Times New Roman" w:hAnsi="Times New Roman" w:cs="Times New Roman"/>
          <w:sz w:val="24"/>
          <w:szCs w:val="24"/>
          <w:lang w:val="en-CA" w:eastAsia="nl-BE"/>
        </w:rPr>
        <w:t xml:space="preserve"> </w:t>
      </w:r>
      <w:r w:rsidR="000B15BE">
        <w:rPr>
          <w:rFonts w:ascii="Times New Roman" w:hAnsi="Times New Roman" w:cs="Times New Roman"/>
          <w:sz w:val="24"/>
          <w:szCs w:val="24"/>
          <w:lang w:val="en-US"/>
        </w:rPr>
        <w:t>the prohibition of place and the direction to leave</w:t>
      </w:r>
      <w:r w:rsidRPr="00B74533">
        <w:rPr>
          <w:rFonts w:ascii="Times New Roman" w:eastAsia="Times New Roman" w:hAnsi="Times New Roman" w:cs="Times New Roman"/>
          <w:sz w:val="24"/>
          <w:szCs w:val="24"/>
          <w:lang w:val="en-CA" w:eastAsia="nl-BE"/>
        </w:rPr>
        <w:t xml:space="preserve"> are imposed </w:t>
      </w:r>
      <w:r w:rsidR="00255956">
        <w:rPr>
          <w:rFonts w:ascii="Times New Roman" w:eastAsia="Times New Roman" w:hAnsi="Times New Roman" w:cs="Times New Roman"/>
          <w:sz w:val="24"/>
          <w:szCs w:val="24"/>
          <w:lang w:val="en-CA" w:eastAsia="nl-BE"/>
        </w:rPr>
        <w:t>to tackle ‘public order disturbance a</w:t>
      </w:r>
      <w:r w:rsidRPr="00B74533">
        <w:rPr>
          <w:rFonts w:ascii="Times New Roman" w:eastAsia="Times New Roman" w:hAnsi="Times New Roman" w:cs="Times New Roman"/>
          <w:sz w:val="24"/>
          <w:szCs w:val="24"/>
          <w:lang w:val="en-CA" w:eastAsia="nl-BE"/>
        </w:rPr>
        <w:t>nd nuisance</w:t>
      </w:r>
      <w:r w:rsidR="00B74533" w:rsidRPr="00B74533">
        <w:rPr>
          <w:rFonts w:ascii="Times New Roman" w:eastAsia="Times New Roman" w:hAnsi="Times New Roman" w:cs="Times New Roman"/>
          <w:sz w:val="24"/>
          <w:szCs w:val="24"/>
          <w:lang w:val="en-CA" w:eastAsia="nl-BE"/>
        </w:rPr>
        <w:t>’</w:t>
      </w:r>
      <w:r w:rsidRPr="00B74533">
        <w:rPr>
          <w:rFonts w:ascii="Times New Roman" w:eastAsia="Times New Roman" w:hAnsi="Times New Roman" w:cs="Times New Roman"/>
          <w:sz w:val="24"/>
          <w:szCs w:val="24"/>
          <w:lang w:val="en-CA" w:eastAsia="nl-BE"/>
        </w:rPr>
        <w:t xml:space="preserve"> </w:t>
      </w:r>
      <w:r w:rsidR="00B74533" w:rsidRPr="00B74533">
        <w:rPr>
          <w:rFonts w:ascii="Times New Roman" w:eastAsia="Times New Roman" w:hAnsi="Times New Roman" w:cs="Times New Roman"/>
          <w:sz w:val="24"/>
          <w:szCs w:val="24"/>
          <w:lang w:val="en-CA" w:eastAsia="nl-BE"/>
        </w:rPr>
        <w:t>and</w:t>
      </w:r>
      <w:r w:rsidRPr="00B74533">
        <w:rPr>
          <w:rFonts w:ascii="Times New Roman" w:eastAsia="Times New Roman" w:hAnsi="Times New Roman" w:cs="Times New Roman"/>
          <w:sz w:val="24"/>
          <w:szCs w:val="24"/>
          <w:lang w:val="en-CA" w:eastAsia="nl-BE"/>
        </w:rPr>
        <w:t xml:space="preserve"> </w:t>
      </w:r>
      <w:r w:rsidR="00B74533" w:rsidRPr="00B74533">
        <w:rPr>
          <w:rFonts w:ascii="Times New Roman" w:eastAsia="Times New Roman" w:hAnsi="Times New Roman" w:cs="Times New Roman"/>
          <w:sz w:val="24"/>
          <w:szCs w:val="24"/>
          <w:lang w:val="en-CA" w:eastAsia="nl-BE"/>
        </w:rPr>
        <w:t>‘</w:t>
      </w:r>
      <w:r w:rsidRPr="00B74533">
        <w:rPr>
          <w:rFonts w:ascii="Times New Roman" w:eastAsia="Times New Roman" w:hAnsi="Times New Roman" w:cs="Times New Roman"/>
          <w:sz w:val="24"/>
          <w:szCs w:val="24"/>
          <w:lang w:val="en-CA" w:eastAsia="nl-BE"/>
        </w:rPr>
        <w:t>anti-social behaviour, crime and disorder</w:t>
      </w:r>
      <w:r w:rsidR="00B74533" w:rsidRPr="00B74533">
        <w:rPr>
          <w:rFonts w:ascii="Times New Roman" w:eastAsia="Times New Roman" w:hAnsi="Times New Roman" w:cs="Times New Roman"/>
          <w:sz w:val="24"/>
          <w:szCs w:val="24"/>
          <w:lang w:val="en-CA" w:eastAsia="nl-BE"/>
        </w:rPr>
        <w:t>’</w:t>
      </w:r>
      <w:r w:rsidRPr="005F1E8D">
        <w:rPr>
          <w:rFonts w:ascii="Times New Roman" w:eastAsia="Times New Roman" w:hAnsi="Times New Roman" w:cs="Times New Roman"/>
          <w:i/>
          <w:sz w:val="24"/>
          <w:szCs w:val="24"/>
          <w:lang w:val="en-CA" w:eastAsia="nl-BE"/>
        </w:rPr>
        <w:t xml:space="preserve">, </w:t>
      </w:r>
      <w:r w:rsidRPr="005F1E8D">
        <w:rPr>
          <w:rFonts w:ascii="Times New Roman" w:eastAsia="Times New Roman" w:hAnsi="Times New Roman" w:cs="Times New Roman"/>
          <w:sz w:val="24"/>
          <w:szCs w:val="24"/>
          <w:lang w:val="en-CA" w:eastAsia="nl-BE"/>
        </w:rPr>
        <w:t>respectively</w:t>
      </w:r>
      <w:r>
        <w:rPr>
          <w:rStyle w:val="Odwoanieprzypisudolnego"/>
          <w:rFonts w:ascii="Times New Roman" w:eastAsia="Times New Roman" w:hAnsi="Times New Roman" w:cs="Times New Roman"/>
          <w:sz w:val="24"/>
          <w:szCs w:val="24"/>
          <w:lang w:val="en-CA" w:eastAsia="nl-BE"/>
        </w:rPr>
        <w:footnoteReference w:id="29"/>
      </w:r>
      <w:r w:rsidRPr="00C971D2">
        <w:rPr>
          <w:rFonts w:ascii="Times New Roman" w:eastAsia="Times New Roman" w:hAnsi="Times New Roman" w:cs="Times New Roman"/>
          <w:i/>
          <w:sz w:val="24"/>
          <w:szCs w:val="24"/>
          <w:lang w:val="en-CA" w:eastAsia="nl-BE"/>
        </w:rPr>
        <w:t>.</w:t>
      </w:r>
      <w:r w:rsidRPr="00C971D2">
        <w:rPr>
          <w:rFonts w:ascii="Times New Roman" w:eastAsia="Times New Roman" w:hAnsi="Times New Roman" w:cs="Times New Roman"/>
          <w:sz w:val="24"/>
          <w:szCs w:val="24"/>
          <w:lang w:val="en-CA" w:eastAsia="nl-BE"/>
        </w:rPr>
        <w:t xml:space="preserve"> Therefore, the decisive criterion will be the requirement of </w:t>
      </w:r>
      <w:r w:rsidRPr="003A71D5">
        <w:rPr>
          <w:rFonts w:ascii="Times New Roman" w:eastAsia="Times New Roman" w:hAnsi="Times New Roman" w:cs="Times New Roman"/>
          <w:sz w:val="24"/>
          <w:szCs w:val="24"/>
          <w:lang w:val="en-CA" w:eastAsia="nl-BE"/>
        </w:rPr>
        <w:t>being</w:t>
      </w:r>
      <w:r w:rsidR="00B74533" w:rsidRPr="003A71D5">
        <w:rPr>
          <w:rFonts w:ascii="Times New Roman" w:eastAsia="Times New Roman" w:hAnsi="Times New Roman" w:cs="Times New Roman"/>
          <w:sz w:val="24"/>
          <w:szCs w:val="24"/>
          <w:lang w:val="en-CA" w:eastAsia="nl-BE"/>
        </w:rPr>
        <w:t xml:space="preserve"> ‘necessary</w:t>
      </w:r>
      <w:r w:rsidR="008029B1">
        <w:rPr>
          <w:rFonts w:ascii="Times New Roman" w:eastAsia="Times New Roman" w:hAnsi="Times New Roman" w:cs="Times New Roman"/>
          <w:sz w:val="24"/>
          <w:szCs w:val="24"/>
          <w:lang w:val="en-CA" w:eastAsia="nl-BE"/>
        </w:rPr>
        <w:t xml:space="preserve"> (</w:t>
      </w:r>
      <w:r w:rsidR="003A71D5" w:rsidRPr="003A71D5">
        <w:rPr>
          <w:rFonts w:ascii="Times New Roman" w:eastAsia="Times New Roman" w:hAnsi="Times New Roman" w:cs="Times New Roman"/>
          <w:sz w:val="24"/>
          <w:szCs w:val="24"/>
          <w:lang w:val="en-CA" w:eastAsia="nl-BE"/>
        </w:rPr>
        <w:t>or</w:t>
      </w:r>
      <w:r w:rsidR="008029B1">
        <w:rPr>
          <w:rFonts w:ascii="Times New Roman" w:eastAsia="Times New Roman" w:hAnsi="Times New Roman" w:cs="Times New Roman"/>
          <w:sz w:val="24"/>
          <w:szCs w:val="24"/>
          <w:lang w:val="en-CA" w:eastAsia="nl-BE"/>
        </w:rPr>
        <w:t xml:space="preserve"> justified, according to Article </w:t>
      </w:r>
      <w:r w:rsidR="003A71D5" w:rsidRPr="003A71D5">
        <w:rPr>
          <w:rFonts w:ascii="Times New Roman" w:eastAsia="Times New Roman" w:hAnsi="Times New Roman" w:cs="Times New Roman"/>
          <w:sz w:val="24"/>
          <w:szCs w:val="24"/>
          <w:lang w:val="en-CA" w:eastAsia="nl-BE"/>
        </w:rPr>
        <w:t>2(4) FAP</w:t>
      </w:r>
      <w:r w:rsidR="008029B1">
        <w:rPr>
          <w:rFonts w:ascii="Times New Roman" w:eastAsia="Times New Roman" w:hAnsi="Times New Roman" w:cs="Times New Roman"/>
          <w:sz w:val="24"/>
          <w:szCs w:val="24"/>
          <w:lang w:val="en-CA" w:eastAsia="nl-BE"/>
        </w:rPr>
        <w:t>)</w:t>
      </w:r>
      <w:r w:rsidR="00B74533" w:rsidRPr="003A71D5">
        <w:rPr>
          <w:rFonts w:ascii="Times New Roman" w:eastAsia="Times New Roman" w:hAnsi="Times New Roman" w:cs="Times New Roman"/>
          <w:sz w:val="24"/>
          <w:szCs w:val="24"/>
          <w:lang w:val="en-CA" w:eastAsia="nl-BE"/>
        </w:rPr>
        <w:t xml:space="preserve"> in a democratic society’, </w:t>
      </w:r>
      <w:r w:rsidR="00175260">
        <w:rPr>
          <w:rFonts w:ascii="Times New Roman" w:eastAsia="Times New Roman" w:hAnsi="Times New Roman" w:cs="Times New Roman"/>
          <w:sz w:val="24"/>
          <w:szCs w:val="24"/>
          <w:lang w:val="en-CA" w:eastAsia="nl-BE"/>
        </w:rPr>
        <w:t>in other words</w:t>
      </w:r>
      <w:r w:rsidR="00B74533" w:rsidRPr="003A71D5">
        <w:rPr>
          <w:rFonts w:ascii="Times New Roman" w:eastAsia="Times New Roman" w:hAnsi="Times New Roman" w:cs="Times New Roman"/>
          <w:sz w:val="24"/>
          <w:szCs w:val="24"/>
          <w:lang w:val="en-CA" w:eastAsia="nl-BE"/>
        </w:rPr>
        <w:t xml:space="preserve"> </w:t>
      </w:r>
      <w:r w:rsidR="00255956" w:rsidRPr="003A71D5">
        <w:rPr>
          <w:rFonts w:ascii="Times New Roman" w:eastAsia="Times New Roman" w:hAnsi="Times New Roman" w:cs="Times New Roman"/>
          <w:sz w:val="24"/>
          <w:szCs w:val="24"/>
          <w:lang w:val="en-CA" w:eastAsia="nl-BE"/>
        </w:rPr>
        <w:t xml:space="preserve">being </w:t>
      </w:r>
      <w:r w:rsidRPr="001B35FC">
        <w:rPr>
          <w:rFonts w:ascii="Times New Roman" w:eastAsia="Times New Roman" w:hAnsi="Times New Roman" w:cs="Times New Roman"/>
          <w:i/>
          <w:sz w:val="24"/>
          <w:szCs w:val="24"/>
          <w:lang w:val="en-CA" w:eastAsia="nl-BE"/>
        </w:rPr>
        <w:t>proportionate</w:t>
      </w:r>
      <w:r w:rsidR="007F3A3E" w:rsidRPr="003A71D5">
        <w:rPr>
          <w:rFonts w:ascii="Times New Roman" w:eastAsia="Times New Roman" w:hAnsi="Times New Roman" w:cs="Times New Roman"/>
          <w:i/>
          <w:sz w:val="24"/>
          <w:szCs w:val="24"/>
          <w:lang w:val="en-CA" w:eastAsia="nl-BE"/>
        </w:rPr>
        <w:t>.</w:t>
      </w:r>
      <w:r w:rsidR="00316393">
        <w:rPr>
          <w:rFonts w:ascii="Times New Roman" w:eastAsia="Times New Roman" w:hAnsi="Times New Roman" w:cs="Times New Roman"/>
          <w:i/>
          <w:sz w:val="24"/>
          <w:szCs w:val="24"/>
          <w:lang w:val="en-CA" w:eastAsia="nl-BE"/>
        </w:rPr>
        <w:t xml:space="preserve"> </w:t>
      </w:r>
    </w:p>
    <w:p w14:paraId="0D508AFA" w14:textId="3AB83314" w:rsidR="00293947" w:rsidRPr="00D82902" w:rsidRDefault="001B35FC" w:rsidP="001B35FC">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CA"/>
        </w:rPr>
        <w:t>T</w:t>
      </w:r>
      <w:r w:rsidR="00B7455E" w:rsidRPr="00B921B0">
        <w:rPr>
          <w:rFonts w:ascii="Times New Roman" w:hAnsi="Times New Roman" w:cs="Times New Roman"/>
          <w:sz w:val="24"/>
          <w:szCs w:val="24"/>
          <w:lang w:val="en-US"/>
        </w:rPr>
        <w:t xml:space="preserve">here is no discussion </w:t>
      </w:r>
      <w:r w:rsidR="007F3A3E" w:rsidRPr="00B921B0">
        <w:rPr>
          <w:rFonts w:ascii="Times New Roman" w:hAnsi="Times New Roman" w:cs="Times New Roman"/>
          <w:sz w:val="24"/>
          <w:szCs w:val="24"/>
          <w:lang w:val="en-US"/>
        </w:rPr>
        <w:t>of</w:t>
      </w:r>
      <w:r w:rsidR="00B7455E" w:rsidRPr="00B921B0">
        <w:rPr>
          <w:rFonts w:ascii="Times New Roman" w:hAnsi="Times New Roman" w:cs="Times New Roman"/>
          <w:sz w:val="24"/>
          <w:szCs w:val="24"/>
          <w:lang w:val="en-US"/>
        </w:rPr>
        <w:t xml:space="preserve"> the fact that the proportionality principle </w:t>
      </w:r>
      <w:r w:rsidR="00255956">
        <w:rPr>
          <w:rFonts w:ascii="Times New Roman" w:hAnsi="Times New Roman" w:cs="Times New Roman"/>
          <w:sz w:val="24"/>
          <w:szCs w:val="24"/>
          <w:lang w:val="en-US"/>
        </w:rPr>
        <w:t>is applicable</w:t>
      </w:r>
      <w:r w:rsidR="00B7455E" w:rsidRPr="00B921B0">
        <w:rPr>
          <w:rFonts w:ascii="Times New Roman" w:hAnsi="Times New Roman" w:cs="Times New Roman"/>
          <w:sz w:val="24"/>
          <w:szCs w:val="24"/>
          <w:lang w:val="en-US"/>
        </w:rPr>
        <w:t xml:space="preserve"> to </w:t>
      </w:r>
      <w:r w:rsidR="007F3A3E" w:rsidRPr="00B921B0">
        <w:rPr>
          <w:rFonts w:ascii="Times New Roman" w:hAnsi="Times New Roman" w:cs="Times New Roman"/>
          <w:sz w:val="24"/>
          <w:szCs w:val="24"/>
          <w:lang w:val="en-US"/>
        </w:rPr>
        <w:t>freedom-restricting</w:t>
      </w:r>
      <w:r w:rsidR="00B7455E" w:rsidRPr="00B921B0">
        <w:rPr>
          <w:rFonts w:ascii="Times New Roman" w:hAnsi="Times New Roman" w:cs="Times New Roman"/>
          <w:sz w:val="24"/>
          <w:szCs w:val="24"/>
          <w:lang w:val="en-US"/>
        </w:rPr>
        <w:t xml:space="preserve"> measures. </w:t>
      </w:r>
      <w:r w:rsidR="00316393" w:rsidRPr="00B921B0">
        <w:rPr>
          <w:rFonts w:ascii="Times New Roman" w:hAnsi="Times New Roman" w:cs="Times New Roman"/>
          <w:sz w:val="24"/>
          <w:szCs w:val="24"/>
          <w:lang w:val="en-US"/>
        </w:rPr>
        <w:t xml:space="preserve">Although </w:t>
      </w:r>
      <w:r w:rsidR="00316393" w:rsidRPr="00B921B0">
        <w:rPr>
          <w:rFonts w:ascii="Times New Roman" w:hAnsi="Times New Roman" w:cs="Times New Roman"/>
          <w:color w:val="000000"/>
          <w:sz w:val="24"/>
          <w:szCs w:val="24"/>
          <w:shd w:val="clear" w:color="auto" w:fill="FFFFFF"/>
          <w:lang w:val="en-US"/>
        </w:rPr>
        <w:t xml:space="preserve">neither </w:t>
      </w:r>
      <w:r w:rsidR="00316393" w:rsidRPr="00B921B0">
        <w:rPr>
          <w:rFonts w:ascii="Times New Roman" w:hAnsi="Times New Roman" w:cs="Times New Roman"/>
          <w:sz w:val="24"/>
          <w:szCs w:val="24"/>
          <w:lang w:val="en-US"/>
        </w:rPr>
        <w:t>the text of the Convention nor its Additional Protocols expressly refer to the proportionality principle, it has been identified in the Strasbourg Court’s case law as a general principle</w:t>
      </w:r>
      <w:r w:rsidR="00316393">
        <w:rPr>
          <w:rFonts w:ascii="Times New Roman" w:hAnsi="Times New Roman" w:cs="Times New Roman"/>
          <w:sz w:val="24"/>
          <w:szCs w:val="24"/>
          <w:lang w:val="en-US"/>
        </w:rPr>
        <w:t xml:space="preserve"> of the</w:t>
      </w:r>
      <w:r w:rsidR="00316393" w:rsidRPr="00B921B0">
        <w:rPr>
          <w:rFonts w:ascii="Times New Roman" w:hAnsi="Times New Roman" w:cs="Times New Roman"/>
          <w:sz w:val="24"/>
          <w:szCs w:val="24"/>
          <w:lang w:val="en-US"/>
        </w:rPr>
        <w:t xml:space="preserve"> Convention</w:t>
      </w:r>
      <w:r w:rsidR="00316393">
        <w:rPr>
          <w:rStyle w:val="Odwoanieprzypisudolnego"/>
          <w:rFonts w:ascii="Times New Roman" w:hAnsi="Times New Roman" w:cs="Times New Roman"/>
          <w:sz w:val="24"/>
          <w:szCs w:val="24"/>
          <w:lang w:val="en-US"/>
        </w:rPr>
        <w:footnoteReference w:id="30"/>
      </w:r>
      <w:r w:rsidR="00316393">
        <w:rPr>
          <w:rFonts w:ascii="Times New Roman" w:hAnsi="Times New Roman" w:cs="Times New Roman"/>
          <w:sz w:val="24"/>
          <w:szCs w:val="24"/>
          <w:lang w:val="en-US"/>
        </w:rPr>
        <w:t>. In Belgium, the proportionality</w:t>
      </w:r>
      <w:r w:rsidR="00316393" w:rsidRPr="008B172B">
        <w:rPr>
          <w:rFonts w:ascii="Times New Roman" w:hAnsi="Times New Roman" w:cs="Times New Roman"/>
          <w:sz w:val="24"/>
          <w:szCs w:val="24"/>
          <w:lang w:val="en-US"/>
        </w:rPr>
        <w:t xml:space="preserve"> principle </w:t>
      </w:r>
      <w:r w:rsidR="00316393">
        <w:rPr>
          <w:rFonts w:ascii="Times New Roman" w:hAnsi="Times New Roman" w:cs="Times New Roman"/>
          <w:sz w:val="24"/>
          <w:szCs w:val="24"/>
          <w:lang w:val="en-US"/>
        </w:rPr>
        <w:t>is a</w:t>
      </w:r>
      <w:r w:rsidR="00316393" w:rsidRPr="008B172B">
        <w:rPr>
          <w:rFonts w:ascii="Times New Roman" w:hAnsi="Times New Roman" w:cs="Times New Roman"/>
          <w:sz w:val="24"/>
          <w:szCs w:val="24"/>
          <w:lang w:val="en-US"/>
        </w:rPr>
        <w:t xml:space="preserve"> part of the unwritten general </w:t>
      </w:r>
      <w:r w:rsidR="00316393">
        <w:rPr>
          <w:rFonts w:ascii="Times New Roman" w:hAnsi="Times New Roman" w:cs="Times New Roman"/>
          <w:sz w:val="24"/>
          <w:szCs w:val="24"/>
          <w:lang w:val="en-US"/>
        </w:rPr>
        <w:t>‘</w:t>
      </w:r>
      <w:r w:rsidR="00316393" w:rsidRPr="00D82902">
        <w:rPr>
          <w:rFonts w:ascii="Times New Roman" w:hAnsi="Times New Roman" w:cs="Times New Roman"/>
          <w:sz w:val="24"/>
          <w:szCs w:val="24"/>
          <w:lang w:val="en-US"/>
        </w:rPr>
        <w:t>principles of good administration’, which the executive must take into account.</w:t>
      </w:r>
      <w:r w:rsidR="00E84C7C">
        <w:rPr>
          <w:rFonts w:ascii="Times New Roman" w:hAnsi="Times New Roman" w:cs="Times New Roman"/>
          <w:sz w:val="24"/>
          <w:szCs w:val="24"/>
          <w:lang w:val="en-US"/>
        </w:rPr>
        <w:t xml:space="preserve"> I</w:t>
      </w:r>
      <w:r w:rsidR="005B3FA8" w:rsidRPr="00D82902">
        <w:rPr>
          <w:rFonts w:ascii="Times New Roman" w:hAnsi="Times New Roman" w:cs="Times New Roman"/>
          <w:sz w:val="24"/>
          <w:szCs w:val="24"/>
          <w:lang w:val="en-US"/>
        </w:rPr>
        <w:t>n</w:t>
      </w:r>
      <w:r w:rsidR="00316393" w:rsidRPr="00D82902">
        <w:rPr>
          <w:rFonts w:ascii="Times New Roman" w:hAnsi="Times New Roman" w:cs="Times New Roman"/>
          <w:sz w:val="24"/>
          <w:szCs w:val="24"/>
          <w:lang w:val="en-CA"/>
        </w:rPr>
        <w:t xml:space="preserve"> the United Kingdom, </w:t>
      </w:r>
      <w:r w:rsidR="00E84C7C">
        <w:rPr>
          <w:rFonts w:ascii="Times New Roman" w:hAnsi="Times New Roman" w:cs="Times New Roman"/>
          <w:sz w:val="24"/>
          <w:szCs w:val="24"/>
          <w:lang w:val="en-CA"/>
        </w:rPr>
        <w:t xml:space="preserve">on the contrary, </w:t>
      </w:r>
      <w:r w:rsidR="00316393" w:rsidRPr="00D82902">
        <w:rPr>
          <w:rFonts w:ascii="Times New Roman" w:hAnsi="Times New Roman" w:cs="Times New Roman"/>
          <w:sz w:val="24"/>
          <w:szCs w:val="24"/>
          <w:lang w:val="en-US"/>
        </w:rPr>
        <w:t xml:space="preserve">the proportionality principle </w:t>
      </w:r>
      <w:r w:rsidR="00316393" w:rsidRPr="003A413D">
        <w:rPr>
          <w:rFonts w:ascii="Times New Roman" w:hAnsi="Times New Roman" w:cs="Times New Roman"/>
          <w:sz w:val="24"/>
          <w:szCs w:val="24"/>
          <w:lang w:val="en-US"/>
        </w:rPr>
        <w:t>is relative</w:t>
      </w:r>
      <w:r w:rsidR="006C4404">
        <w:rPr>
          <w:rFonts w:ascii="Times New Roman" w:hAnsi="Times New Roman" w:cs="Times New Roman"/>
          <w:sz w:val="24"/>
          <w:szCs w:val="24"/>
          <w:lang w:val="en-US"/>
        </w:rPr>
        <w:t>ly</w:t>
      </w:r>
      <w:r w:rsidR="00316393" w:rsidRPr="003A413D">
        <w:rPr>
          <w:rFonts w:ascii="Times New Roman" w:hAnsi="Times New Roman" w:cs="Times New Roman"/>
          <w:sz w:val="24"/>
          <w:szCs w:val="24"/>
          <w:lang w:val="en-US"/>
        </w:rPr>
        <w:t xml:space="preserve"> new</w:t>
      </w:r>
      <w:r w:rsidR="006C4404">
        <w:rPr>
          <w:rFonts w:ascii="Times New Roman" w:hAnsi="Times New Roman" w:cs="Times New Roman"/>
          <w:sz w:val="24"/>
          <w:szCs w:val="24"/>
          <w:lang w:val="en-US"/>
        </w:rPr>
        <w:t>. It wa</w:t>
      </w:r>
      <w:r w:rsidR="008029B1">
        <w:rPr>
          <w:rFonts w:ascii="Times New Roman" w:hAnsi="Times New Roman" w:cs="Times New Roman"/>
          <w:sz w:val="24"/>
          <w:szCs w:val="24"/>
          <w:lang w:val="en-US"/>
        </w:rPr>
        <w:t>s</w:t>
      </w:r>
      <w:r w:rsidR="00D82902" w:rsidRPr="003A413D">
        <w:rPr>
          <w:rFonts w:ascii="Times New Roman" w:hAnsi="Times New Roman" w:cs="Times New Roman"/>
          <w:sz w:val="24"/>
          <w:szCs w:val="24"/>
          <w:lang w:val="en-US"/>
        </w:rPr>
        <w:t xml:space="preserve"> </w:t>
      </w:r>
      <w:r w:rsidR="003A413D">
        <w:rPr>
          <w:rFonts w:ascii="Times New Roman" w:hAnsi="Times New Roman" w:cs="Times New Roman"/>
          <w:sz w:val="24"/>
          <w:szCs w:val="24"/>
          <w:lang w:val="en-US"/>
        </w:rPr>
        <w:t xml:space="preserve">incorporated </w:t>
      </w:r>
      <w:r w:rsidR="008029B1">
        <w:rPr>
          <w:rFonts w:ascii="Times New Roman" w:hAnsi="Times New Roman" w:cs="Times New Roman"/>
          <w:sz w:val="24"/>
          <w:szCs w:val="24"/>
          <w:lang w:val="en-CA"/>
        </w:rPr>
        <w:t xml:space="preserve">into UK domestic law by </w:t>
      </w:r>
      <w:r w:rsidR="003A413D">
        <w:rPr>
          <w:rFonts w:ascii="Times New Roman" w:hAnsi="Times New Roman" w:cs="Times New Roman"/>
          <w:sz w:val="24"/>
          <w:szCs w:val="24"/>
          <w:lang w:val="en-CA"/>
        </w:rPr>
        <w:t>the Human Rights Act 1998</w:t>
      </w:r>
      <w:r w:rsidR="008029B1">
        <w:rPr>
          <w:rFonts w:ascii="Times New Roman" w:hAnsi="Times New Roman" w:cs="Times New Roman"/>
          <w:sz w:val="24"/>
          <w:szCs w:val="24"/>
          <w:lang w:val="en-CA"/>
        </w:rPr>
        <w:t xml:space="preserve"> via the Convention rights</w:t>
      </w:r>
      <w:r w:rsidR="003A413D">
        <w:rPr>
          <w:rFonts w:ascii="Times New Roman" w:hAnsi="Times New Roman" w:cs="Times New Roman"/>
          <w:sz w:val="24"/>
          <w:szCs w:val="24"/>
          <w:lang w:val="en-CA"/>
        </w:rPr>
        <w:t xml:space="preserve"> and </w:t>
      </w:r>
      <w:r w:rsidR="008029B1">
        <w:rPr>
          <w:rFonts w:ascii="Times New Roman" w:hAnsi="Times New Roman" w:cs="Times New Roman"/>
          <w:sz w:val="24"/>
          <w:szCs w:val="24"/>
          <w:lang w:val="en-CA"/>
        </w:rPr>
        <w:t xml:space="preserve">only </w:t>
      </w:r>
      <w:r w:rsidR="006C4404">
        <w:rPr>
          <w:rFonts w:ascii="Times New Roman" w:hAnsi="Times New Roman" w:cs="Times New Roman"/>
          <w:sz w:val="24"/>
          <w:szCs w:val="24"/>
          <w:lang w:val="en-US"/>
        </w:rPr>
        <w:t>qualified</w:t>
      </w:r>
      <w:r w:rsidR="00D82902">
        <w:rPr>
          <w:rFonts w:ascii="Times New Roman" w:hAnsi="Times New Roman" w:cs="Times New Roman"/>
          <w:sz w:val="24"/>
          <w:szCs w:val="24"/>
          <w:lang w:val="en-US"/>
        </w:rPr>
        <w:t xml:space="preserve"> as </w:t>
      </w:r>
      <w:r w:rsidR="00D82902" w:rsidRPr="008B3BD5">
        <w:rPr>
          <w:rFonts w:ascii="Times New Roman" w:hAnsi="Times New Roman" w:cs="Times New Roman"/>
          <w:sz w:val="24"/>
          <w:szCs w:val="24"/>
          <w:lang w:val="en-US"/>
        </w:rPr>
        <w:t>a general principle of public law</w:t>
      </w:r>
      <w:r w:rsidR="008029B1">
        <w:rPr>
          <w:rFonts w:ascii="Times New Roman" w:hAnsi="Times New Roman" w:cs="Times New Roman"/>
          <w:sz w:val="24"/>
          <w:szCs w:val="24"/>
          <w:lang w:val="en-US"/>
        </w:rPr>
        <w:t xml:space="preserve"> </w:t>
      </w:r>
      <w:r w:rsidR="00457179">
        <w:rPr>
          <w:rFonts w:ascii="Times New Roman" w:hAnsi="Times New Roman" w:cs="Times New Roman"/>
          <w:sz w:val="24"/>
          <w:szCs w:val="24"/>
          <w:lang w:val="en-US"/>
        </w:rPr>
        <w:t>in 2001</w:t>
      </w:r>
      <w:r w:rsidR="005B3FA8" w:rsidRPr="00D82902">
        <w:rPr>
          <w:rStyle w:val="Odwoanieprzypisudolnego"/>
          <w:rFonts w:ascii="Times New Roman" w:hAnsi="Times New Roman" w:cs="Times New Roman"/>
          <w:sz w:val="24"/>
          <w:szCs w:val="24"/>
          <w:lang w:val="en-US"/>
        </w:rPr>
        <w:footnoteReference w:id="31"/>
      </w:r>
      <w:r w:rsidR="00D82902">
        <w:rPr>
          <w:rFonts w:ascii="Times New Roman" w:hAnsi="Times New Roman" w:cs="Times New Roman"/>
          <w:sz w:val="24"/>
          <w:szCs w:val="24"/>
          <w:lang w:val="en-US"/>
        </w:rPr>
        <w:t xml:space="preserve">. </w:t>
      </w:r>
      <w:r w:rsidR="00277118" w:rsidRPr="003A71D5">
        <w:rPr>
          <w:rFonts w:ascii="Times New Roman" w:hAnsi="Times New Roman" w:cs="Times New Roman"/>
          <w:sz w:val="24"/>
          <w:szCs w:val="24"/>
          <w:lang w:val="en-US"/>
        </w:rPr>
        <w:t>However</w:t>
      </w:r>
      <w:r w:rsidR="00277118" w:rsidRPr="00E15979">
        <w:rPr>
          <w:rFonts w:ascii="Times New Roman" w:hAnsi="Times New Roman" w:cs="Times New Roman"/>
          <w:sz w:val="24"/>
          <w:szCs w:val="24"/>
          <w:lang w:val="en-US"/>
        </w:rPr>
        <w:t xml:space="preserve">, </w:t>
      </w:r>
      <w:r w:rsidR="003A71D5">
        <w:rPr>
          <w:rFonts w:ascii="Times New Roman" w:hAnsi="Times New Roman" w:cs="Times New Roman"/>
          <w:sz w:val="24"/>
          <w:szCs w:val="24"/>
          <w:lang w:val="en-US"/>
        </w:rPr>
        <w:t>t</w:t>
      </w:r>
      <w:r w:rsidR="00B7455E" w:rsidRPr="00E15979">
        <w:rPr>
          <w:rFonts w:ascii="Times New Roman" w:hAnsi="Times New Roman" w:cs="Times New Roman"/>
          <w:sz w:val="24"/>
          <w:szCs w:val="24"/>
          <w:lang w:val="en-US"/>
        </w:rPr>
        <w:t>he question arises how this proportionality principle must be interpreted and what the content of this principle is</w:t>
      </w:r>
      <w:r w:rsidR="008946CB" w:rsidRPr="00E15979">
        <w:rPr>
          <w:rFonts w:ascii="Times New Roman" w:hAnsi="Times New Roman" w:cs="Times New Roman"/>
          <w:sz w:val="24"/>
          <w:szCs w:val="24"/>
          <w:lang w:val="en-US"/>
        </w:rPr>
        <w:t xml:space="preserve"> as regards</w:t>
      </w:r>
      <w:r w:rsidR="00B7455E" w:rsidRPr="00E15979">
        <w:rPr>
          <w:rFonts w:ascii="Times New Roman" w:hAnsi="Times New Roman" w:cs="Times New Roman"/>
          <w:sz w:val="24"/>
          <w:szCs w:val="24"/>
          <w:lang w:val="en-US"/>
        </w:rPr>
        <w:t xml:space="preserve"> freedom-restricting measures imposed to maintain public order</w:t>
      </w:r>
      <w:r w:rsidR="008946CB" w:rsidRPr="00E15979">
        <w:rPr>
          <w:rFonts w:ascii="Times New Roman" w:hAnsi="Times New Roman" w:cs="Times New Roman"/>
          <w:sz w:val="24"/>
          <w:szCs w:val="24"/>
          <w:lang w:val="en-US"/>
        </w:rPr>
        <w:t>,</w:t>
      </w:r>
      <w:r w:rsidR="00B7455E" w:rsidRPr="00E15979">
        <w:rPr>
          <w:rFonts w:ascii="Times New Roman" w:hAnsi="Times New Roman" w:cs="Times New Roman"/>
          <w:sz w:val="24"/>
          <w:szCs w:val="24"/>
          <w:lang w:val="en-US"/>
        </w:rPr>
        <w:t xml:space="preserve"> such as area-based restrictions.</w:t>
      </w:r>
      <w:r w:rsidR="00A66D08">
        <w:rPr>
          <w:rFonts w:ascii="Times New Roman" w:hAnsi="Times New Roman" w:cs="Times New Roman"/>
          <w:sz w:val="24"/>
          <w:szCs w:val="24"/>
          <w:lang w:val="en-CA"/>
        </w:rPr>
        <w:t xml:space="preserve"> </w:t>
      </w:r>
      <w:r w:rsidR="00293947" w:rsidRPr="005B4C6E">
        <w:rPr>
          <w:rFonts w:ascii="Times New Roman" w:eastAsia="Times New Roman" w:hAnsi="Times New Roman" w:cs="Times New Roman"/>
          <w:sz w:val="24"/>
          <w:szCs w:val="24"/>
          <w:lang w:val="en-CA" w:eastAsia="nl-BE"/>
        </w:rPr>
        <w:t>Hence, t</w:t>
      </w:r>
      <w:r w:rsidR="00293947" w:rsidRPr="005B4C6E">
        <w:rPr>
          <w:rFonts w:ascii="Times New Roman" w:hAnsi="Times New Roman" w:cs="Times New Roman"/>
          <w:sz w:val="24"/>
          <w:szCs w:val="24"/>
          <w:lang w:val="en-CA"/>
        </w:rPr>
        <w:t>he aim of this contribution is to analyse</w:t>
      </w:r>
      <w:r w:rsidR="005B4C6E" w:rsidRPr="005B4C6E">
        <w:rPr>
          <w:rFonts w:ascii="Times New Roman" w:hAnsi="Times New Roman" w:cs="Times New Roman"/>
          <w:sz w:val="24"/>
          <w:szCs w:val="24"/>
          <w:lang w:val="en-CA"/>
        </w:rPr>
        <w:t xml:space="preserve"> the content of the proportionality principle at the European level</w:t>
      </w:r>
      <w:r w:rsidR="00457179">
        <w:rPr>
          <w:rFonts w:ascii="Times New Roman" w:hAnsi="Times New Roman" w:cs="Times New Roman"/>
          <w:sz w:val="24"/>
          <w:szCs w:val="24"/>
          <w:lang w:val="en-CA"/>
        </w:rPr>
        <w:t>,</w:t>
      </w:r>
      <w:r w:rsidR="00BE7207">
        <w:rPr>
          <w:rFonts w:ascii="Times New Roman" w:hAnsi="Times New Roman" w:cs="Times New Roman"/>
          <w:sz w:val="24"/>
          <w:szCs w:val="24"/>
          <w:lang w:val="en-CA"/>
        </w:rPr>
        <w:t xml:space="preserve"> via a first exploratory </w:t>
      </w:r>
      <w:r w:rsidR="00B5577F">
        <w:rPr>
          <w:rFonts w:ascii="Times New Roman" w:hAnsi="Times New Roman" w:cs="Times New Roman"/>
          <w:sz w:val="24"/>
          <w:szCs w:val="24"/>
          <w:lang w:val="en-CA"/>
        </w:rPr>
        <w:t>analysis</w:t>
      </w:r>
      <w:r w:rsidR="00BE7207">
        <w:rPr>
          <w:rFonts w:ascii="Times New Roman" w:hAnsi="Times New Roman" w:cs="Times New Roman"/>
          <w:sz w:val="24"/>
          <w:szCs w:val="24"/>
          <w:lang w:val="en-CA"/>
        </w:rPr>
        <w:t xml:space="preserve"> of the </w:t>
      </w:r>
      <w:r w:rsidR="00A1102B">
        <w:rPr>
          <w:rFonts w:ascii="Times New Roman" w:hAnsi="Times New Roman" w:cs="Times New Roman"/>
          <w:sz w:val="24"/>
          <w:szCs w:val="24"/>
          <w:lang w:val="en-CA"/>
        </w:rPr>
        <w:t xml:space="preserve">very </w:t>
      </w:r>
      <w:r w:rsidR="00BE7207">
        <w:rPr>
          <w:rFonts w:ascii="Times New Roman" w:hAnsi="Times New Roman" w:cs="Times New Roman"/>
          <w:sz w:val="24"/>
          <w:szCs w:val="24"/>
          <w:lang w:val="en-CA"/>
        </w:rPr>
        <w:t xml:space="preserve">limited relevant </w:t>
      </w:r>
      <w:r w:rsidR="00457179">
        <w:rPr>
          <w:rFonts w:ascii="Times New Roman" w:hAnsi="Times New Roman" w:cs="Times New Roman"/>
          <w:sz w:val="24"/>
          <w:szCs w:val="24"/>
          <w:lang w:val="en-CA"/>
        </w:rPr>
        <w:t xml:space="preserve">Strasbourg Court’s </w:t>
      </w:r>
      <w:r w:rsidR="00BE7207">
        <w:rPr>
          <w:rFonts w:ascii="Times New Roman" w:hAnsi="Times New Roman" w:cs="Times New Roman"/>
          <w:sz w:val="24"/>
          <w:szCs w:val="24"/>
          <w:lang w:val="en-CA"/>
        </w:rPr>
        <w:t>case law</w:t>
      </w:r>
      <w:r w:rsidR="005B4C6E" w:rsidRPr="005B4C6E">
        <w:rPr>
          <w:rFonts w:ascii="Times New Roman" w:hAnsi="Times New Roman" w:cs="Times New Roman"/>
          <w:sz w:val="24"/>
          <w:szCs w:val="24"/>
          <w:lang w:val="en-CA"/>
        </w:rPr>
        <w:t xml:space="preserve">, </w:t>
      </w:r>
      <w:r w:rsidR="00A1102B">
        <w:rPr>
          <w:rFonts w:ascii="Times New Roman" w:hAnsi="Times New Roman" w:cs="Times New Roman"/>
          <w:sz w:val="24"/>
          <w:szCs w:val="24"/>
          <w:lang w:val="en-CA"/>
        </w:rPr>
        <w:t xml:space="preserve">compared with the content </w:t>
      </w:r>
      <w:r w:rsidR="00A1102B">
        <w:rPr>
          <w:rFonts w:ascii="Times New Roman" w:hAnsi="Times New Roman" w:cs="Times New Roman"/>
          <w:sz w:val="24"/>
          <w:szCs w:val="24"/>
          <w:lang w:val="en-CA"/>
        </w:rPr>
        <w:lastRenderedPageBreak/>
        <w:t xml:space="preserve">of this principle at </w:t>
      </w:r>
      <w:r w:rsidR="00541ED4">
        <w:rPr>
          <w:rFonts w:ascii="Times New Roman" w:hAnsi="Times New Roman" w:cs="Times New Roman"/>
          <w:sz w:val="24"/>
          <w:szCs w:val="24"/>
          <w:lang w:val="en-CA"/>
        </w:rPr>
        <w:t xml:space="preserve">the </w:t>
      </w:r>
      <w:r w:rsidR="00A1102B">
        <w:rPr>
          <w:rFonts w:ascii="Times New Roman" w:hAnsi="Times New Roman" w:cs="Times New Roman"/>
          <w:sz w:val="24"/>
          <w:szCs w:val="24"/>
          <w:lang w:val="en-CA"/>
        </w:rPr>
        <w:t xml:space="preserve">national level, </w:t>
      </w:r>
      <w:r w:rsidR="00A1102B" w:rsidRPr="005B4C6E">
        <w:rPr>
          <w:rFonts w:ascii="Times New Roman" w:hAnsi="Times New Roman" w:cs="Times New Roman"/>
          <w:sz w:val="24"/>
          <w:szCs w:val="24"/>
          <w:lang w:val="en-CA"/>
        </w:rPr>
        <w:t>more specifically Belgium and the United Kingdom</w:t>
      </w:r>
      <w:r w:rsidR="00A1102B">
        <w:rPr>
          <w:rFonts w:ascii="Times New Roman" w:hAnsi="Times New Roman" w:cs="Times New Roman"/>
          <w:sz w:val="24"/>
          <w:szCs w:val="24"/>
          <w:lang w:val="en-CA"/>
        </w:rPr>
        <w:t>.</w:t>
      </w:r>
      <w:r w:rsidR="00F2389E">
        <w:rPr>
          <w:rFonts w:ascii="Times New Roman" w:hAnsi="Times New Roman" w:cs="Times New Roman"/>
          <w:sz w:val="24"/>
          <w:szCs w:val="24"/>
          <w:lang w:val="en-CA"/>
        </w:rPr>
        <w:t xml:space="preserve"> </w:t>
      </w:r>
      <w:r w:rsidR="00A1102B">
        <w:rPr>
          <w:rFonts w:ascii="Times New Roman" w:hAnsi="Times New Roman" w:cs="Times New Roman"/>
          <w:sz w:val="24"/>
          <w:szCs w:val="24"/>
          <w:lang w:val="en-CA"/>
        </w:rPr>
        <w:t xml:space="preserve">The </w:t>
      </w:r>
      <w:r w:rsidR="00C65440">
        <w:rPr>
          <w:rFonts w:ascii="Times New Roman" w:hAnsi="Times New Roman" w:cs="Times New Roman"/>
          <w:sz w:val="24"/>
          <w:szCs w:val="24"/>
          <w:lang w:val="en-CA"/>
        </w:rPr>
        <w:t xml:space="preserve">domestic </w:t>
      </w:r>
      <w:r w:rsidR="00A1102B">
        <w:rPr>
          <w:rFonts w:ascii="Times New Roman" w:hAnsi="Times New Roman" w:cs="Times New Roman"/>
          <w:sz w:val="24"/>
          <w:szCs w:val="24"/>
          <w:lang w:val="en-CA"/>
        </w:rPr>
        <w:t xml:space="preserve">case law </w:t>
      </w:r>
      <w:r w:rsidR="00A1102B" w:rsidRPr="004E693D">
        <w:rPr>
          <w:rFonts w:ascii="Times New Roman" w:hAnsi="Times New Roman" w:cs="Times New Roman"/>
          <w:sz w:val="24"/>
          <w:szCs w:val="24"/>
          <w:lang w:val="en-US"/>
        </w:rPr>
        <w:t xml:space="preserve">can </w:t>
      </w:r>
      <w:r w:rsidR="00A1102B">
        <w:rPr>
          <w:rFonts w:ascii="Times New Roman" w:hAnsi="Times New Roman" w:cs="Times New Roman"/>
          <w:sz w:val="24"/>
          <w:szCs w:val="24"/>
          <w:lang w:val="en-US"/>
        </w:rPr>
        <w:t>offer</w:t>
      </w:r>
      <w:r w:rsidR="00A1102B" w:rsidRPr="004E693D">
        <w:rPr>
          <w:rFonts w:ascii="Times New Roman" w:hAnsi="Times New Roman" w:cs="Times New Roman"/>
          <w:sz w:val="24"/>
          <w:szCs w:val="24"/>
          <w:lang w:val="en-US"/>
        </w:rPr>
        <w:t xml:space="preserve"> </w:t>
      </w:r>
      <w:r w:rsidR="001F5CF2" w:rsidRPr="001F5CF2">
        <w:rPr>
          <w:rFonts w:ascii="Times New Roman" w:hAnsi="Times New Roman" w:cs="Times New Roman"/>
          <w:sz w:val="24"/>
          <w:szCs w:val="24"/>
          <w:lang w:val="en-US"/>
        </w:rPr>
        <w:t>entry-points of leads</w:t>
      </w:r>
      <w:r w:rsidR="001F5CF2">
        <w:rPr>
          <w:rFonts w:ascii="Times New Roman" w:hAnsi="Times New Roman" w:cs="Times New Roman"/>
          <w:sz w:val="24"/>
          <w:szCs w:val="24"/>
          <w:lang w:val="en-US"/>
        </w:rPr>
        <w:t xml:space="preserve"> </w:t>
      </w:r>
      <w:r w:rsidR="00A1102B">
        <w:rPr>
          <w:rFonts w:ascii="Times New Roman" w:hAnsi="Times New Roman" w:cs="Times New Roman"/>
          <w:sz w:val="24"/>
          <w:szCs w:val="24"/>
          <w:lang w:val="en-US"/>
        </w:rPr>
        <w:t>for</w:t>
      </w:r>
      <w:r w:rsidR="00A1102B" w:rsidRPr="004E693D">
        <w:rPr>
          <w:rFonts w:ascii="Times New Roman" w:hAnsi="Times New Roman" w:cs="Times New Roman"/>
          <w:sz w:val="24"/>
          <w:szCs w:val="24"/>
          <w:lang w:val="en-US"/>
        </w:rPr>
        <w:t xml:space="preserve"> </w:t>
      </w:r>
      <w:r w:rsidR="00A1102B">
        <w:rPr>
          <w:rFonts w:ascii="Times New Roman" w:hAnsi="Times New Roman" w:cs="Times New Roman"/>
          <w:sz w:val="24"/>
          <w:szCs w:val="24"/>
          <w:lang w:val="en-US"/>
        </w:rPr>
        <w:t xml:space="preserve">criteria </w:t>
      </w:r>
      <w:r w:rsidR="00A1102B" w:rsidRPr="004E693D">
        <w:rPr>
          <w:rFonts w:ascii="Times New Roman" w:hAnsi="Times New Roman" w:cs="Times New Roman"/>
          <w:sz w:val="24"/>
          <w:szCs w:val="24"/>
          <w:lang w:val="en-US"/>
        </w:rPr>
        <w:t xml:space="preserve">that must be </w:t>
      </w:r>
      <w:r w:rsidR="00A1102B">
        <w:rPr>
          <w:rFonts w:ascii="Times New Roman" w:hAnsi="Times New Roman" w:cs="Times New Roman"/>
          <w:sz w:val="24"/>
          <w:szCs w:val="24"/>
          <w:lang w:val="en-US"/>
        </w:rPr>
        <w:t>taken into account</w:t>
      </w:r>
      <w:r w:rsidR="00A1102B" w:rsidRPr="004E693D">
        <w:rPr>
          <w:rFonts w:ascii="Times New Roman" w:hAnsi="Times New Roman" w:cs="Times New Roman"/>
          <w:sz w:val="24"/>
          <w:szCs w:val="24"/>
          <w:lang w:val="en-US"/>
        </w:rPr>
        <w:t xml:space="preserve"> when </w:t>
      </w:r>
      <w:r w:rsidR="008C645E">
        <w:rPr>
          <w:rFonts w:ascii="Times New Roman" w:hAnsi="Times New Roman" w:cs="Times New Roman"/>
          <w:sz w:val="24"/>
          <w:szCs w:val="24"/>
          <w:lang w:val="en-US"/>
        </w:rPr>
        <w:t>assessing the proportionality of</w:t>
      </w:r>
      <w:r w:rsidR="00A1102B" w:rsidRPr="004E693D">
        <w:rPr>
          <w:rFonts w:ascii="Times New Roman" w:hAnsi="Times New Roman" w:cs="Times New Roman"/>
          <w:sz w:val="24"/>
          <w:szCs w:val="24"/>
          <w:lang w:val="en-US"/>
        </w:rPr>
        <w:t xml:space="preserve"> </w:t>
      </w:r>
      <w:r w:rsidR="00A1102B">
        <w:rPr>
          <w:rFonts w:ascii="Times New Roman" w:hAnsi="Times New Roman" w:cs="Times New Roman"/>
          <w:sz w:val="24"/>
          <w:szCs w:val="24"/>
          <w:lang w:val="en-US"/>
        </w:rPr>
        <w:t>freedom-restricting measures, in the absence of a clear and general human rights assessment</w:t>
      </w:r>
      <w:r w:rsidR="00A1102B" w:rsidRPr="004E693D">
        <w:rPr>
          <w:rFonts w:ascii="Times New Roman" w:hAnsi="Times New Roman" w:cs="Times New Roman"/>
          <w:sz w:val="24"/>
          <w:szCs w:val="24"/>
          <w:lang w:val="en-US"/>
        </w:rPr>
        <w:t xml:space="preserve"> framework</w:t>
      </w:r>
      <w:r w:rsidR="00F2389E">
        <w:rPr>
          <w:rFonts w:ascii="Times New Roman" w:hAnsi="Times New Roman" w:cs="Times New Roman"/>
          <w:sz w:val="24"/>
          <w:szCs w:val="24"/>
          <w:lang w:val="en-US"/>
        </w:rPr>
        <w:t>.</w:t>
      </w:r>
      <w:r w:rsidR="007C115A">
        <w:rPr>
          <w:rFonts w:ascii="Times New Roman" w:hAnsi="Times New Roman" w:cs="Times New Roman"/>
          <w:sz w:val="24"/>
          <w:szCs w:val="24"/>
          <w:lang w:val="en-US"/>
        </w:rPr>
        <w:t xml:space="preserve"> For pragmatic reasons, I will limit this analysis to </w:t>
      </w:r>
      <w:r w:rsidR="007C115A" w:rsidRPr="009031C0">
        <w:rPr>
          <w:rFonts w:ascii="Times New Roman" w:hAnsi="Times New Roman" w:cs="Times New Roman"/>
          <w:sz w:val="24"/>
          <w:szCs w:val="24"/>
          <w:lang w:val="en-US"/>
        </w:rPr>
        <w:t xml:space="preserve">area-based restrictions, </w:t>
      </w:r>
      <w:r w:rsidR="007C115A">
        <w:rPr>
          <w:rFonts w:ascii="Times New Roman" w:hAnsi="Times New Roman" w:cs="Times New Roman"/>
          <w:sz w:val="24"/>
          <w:szCs w:val="24"/>
          <w:lang w:val="en-US"/>
        </w:rPr>
        <w:t>more specifically</w:t>
      </w:r>
      <w:r w:rsidR="007C115A" w:rsidRPr="009031C0">
        <w:rPr>
          <w:rFonts w:ascii="Times New Roman" w:hAnsi="Times New Roman" w:cs="Times New Roman"/>
          <w:sz w:val="24"/>
          <w:szCs w:val="24"/>
          <w:lang w:val="en-US"/>
        </w:rPr>
        <w:t xml:space="preserve"> the highly topical Belgian prohibition</w:t>
      </w:r>
      <w:r w:rsidR="007C115A">
        <w:rPr>
          <w:rFonts w:ascii="Times New Roman" w:hAnsi="Times New Roman" w:cs="Times New Roman"/>
          <w:sz w:val="24"/>
          <w:szCs w:val="24"/>
          <w:lang w:val="en-US"/>
        </w:rPr>
        <w:t xml:space="preserve"> of place and its UK variant, the direction to leave.</w:t>
      </w:r>
    </w:p>
    <w:p w14:paraId="71423A87" w14:textId="77777777" w:rsidR="001B35FC" w:rsidRPr="007C115A" w:rsidRDefault="001B35FC" w:rsidP="001B35FC">
      <w:pPr>
        <w:autoSpaceDE w:val="0"/>
        <w:autoSpaceDN w:val="0"/>
        <w:adjustRightInd w:val="0"/>
        <w:spacing w:after="0"/>
        <w:jc w:val="both"/>
        <w:rPr>
          <w:rFonts w:ascii="Times New Roman" w:hAnsi="Times New Roman" w:cs="Times New Roman"/>
          <w:sz w:val="24"/>
          <w:szCs w:val="24"/>
          <w:lang w:val="en-US"/>
        </w:rPr>
      </w:pPr>
    </w:p>
    <w:p w14:paraId="4F1F3EED" w14:textId="5D2F5870" w:rsidR="00B7455E" w:rsidRDefault="005E295D" w:rsidP="00B7455E">
      <w:pPr>
        <w:jc w:val="both"/>
        <w:rPr>
          <w:rFonts w:ascii="Times New Roman" w:hAnsi="Times New Roman" w:cs="Times New Roman"/>
          <w:sz w:val="24"/>
          <w:szCs w:val="24"/>
          <w:lang w:val="en-CA"/>
        </w:rPr>
      </w:pPr>
      <w:r w:rsidRPr="006A4348">
        <w:rPr>
          <w:rFonts w:ascii="Times New Roman" w:hAnsi="Times New Roman" w:cs="Times New Roman"/>
          <w:sz w:val="24"/>
          <w:szCs w:val="24"/>
          <w:lang w:val="en-CA"/>
        </w:rPr>
        <w:t>Therefore</w:t>
      </w:r>
      <w:r w:rsidRPr="00107270">
        <w:rPr>
          <w:rFonts w:ascii="Times New Roman" w:hAnsi="Times New Roman" w:cs="Times New Roman"/>
          <w:sz w:val="24"/>
          <w:szCs w:val="24"/>
          <w:lang w:val="en-CA"/>
        </w:rPr>
        <w:t xml:space="preserve">, </w:t>
      </w:r>
      <w:r w:rsidR="001E38DF">
        <w:rPr>
          <w:rFonts w:ascii="Times New Roman" w:hAnsi="Times New Roman" w:cs="Times New Roman"/>
          <w:sz w:val="24"/>
          <w:szCs w:val="24"/>
          <w:lang w:val="en-CA"/>
        </w:rPr>
        <w:t>this contribution</w:t>
      </w:r>
      <w:r w:rsidR="00861B0F" w:rsidRPr="00107270">
        <w:rPr>
          <w:rFonts w:ascii="Times New Roman" w:hAnsi="Times New Roman" w:cs="Times New Roman"/>
          <w:sz w:val="24"/>
          <w:szCs w:val="24"/>
          <w:lang w:val="en-CA"/>
        </w:rPr>
        <w:t xml:space="preserve"> starts with </w:t>
      </w:r>
      <w:r w:rsidR="00107270" w:rsidRPr="00107270">
        <w:rPr>
          <w:rFonts w:ascii="Times New Roman" w:hAnsi="Times New Roman" w:cs="Times New Roman"/>
          <w:sz w:val="24"/>
          <w:szCs w:val="24"/>
          <w:lang w:val="en-CA"/>
        </w:rPr>
        <w:t xml:space="preserve">identifying </w:t>
      </w:r>
      <w:r w:rsidR="00C65440">
        <w:rPr>
          <w:rFonts w:ascii="Times New Roman" w:hAnsi="Times New Roman" w:cs="Times New Roman"/>
          <w:sz w:val="24"/>
          <w:szCs w:val="24"/>
          <w:lang w:val="en-CA"/>
        </w:rPr>
        <w:t>the nature</w:t>
      </w:r>
      <w:r w:rsidR="00596612">
        <w:rPr>
          <w:rFonts w:ascii="Times New Roman" w:hAnsi="Times New Roman" w:cs="Times New Roman"/>
          <w:sz w:val="24"/>
          <w:szCs w:val="24"/>
          <w:lang w:val="en-CA"/>
        </w:rPr>
        <w:t xml:space="preserve"> </w:t>
      </w:r>
      <w:r w:rsidR="006A4348">
        <w:rPr>
          <w:rFonts w:ascii="Times New Roman" w:hAnsi="Times New Roman" w:cs="Times New Roman"/>
          <w:sz w:val="24"/>
          <w:szCs w:val="24"/>
          <w:lang w:val="en-CA"/>
        </w:rPr>
        <w:t xml:space="preserve">of </w:t>
      </w:r>
      <w:r w:rsidR="00861B0F" w:rsidRPr="00107270">
        <w:rPr>
          <w:rFonts w:ascii="Times New Roman" w:hAnsi="Times New Roman" w:cs="Times New Roman"/>
          <w:sz w:val="24"/>
          <w:szCs w:val="24"/>
          <w:lang w:val="en-CA"/>
        </w:rPr>
        <w:t>area-based restrictions</w:t>
      </w:r>
      <w:r w:rsidR="00596612">
        <w:rPr>
          <w:rFonts w:ascii="Times New Roman" w:hAnsi="Times New Roman" w:cs="Times New Roman"/>
          <w:sz w:val="24"/>
          <w:szCs w:val="24"/>
          <w:lang w:val="en-CA"/>
        </w:rPr>
        <w:t xml:space="preserve">. </w:t>
      </w:r>
      <w:r w:rsidR="00B31AF1">
        <w:rPr>
          <w:rFonts w:ascii="Times New Roman" w:eastAsia="Times New Roman" w:hAnsi="Times New Roman" w:cs="Times New Roman"/>
          <w:sz w:val="24"/>
          <w:szCs w:val="24"/>
          <w:lang w:val="en-CA" w:eastAsia="nl-BE"/>
        </w:rPr>
        <w:t>Given the fact that,</w:t>
      </w:r>
      <w:r>
        <w:rPr>
          <w:rFonts w:ascii="Times New Roman" w:eastAsia="Times New Roman" w:hAnsi="Times New Roman" w:cs="Times New Roman"/>
          <w:sz w:val="24"/>
          <w:szCs w:val="24"/>
          <w:lang w:val="en-CA" w:eastAsia="nl-BE"/>
        </w:rPr>
        <w:t xml:space="preserve"> t</w:t>
      </w:r>
      <w:r w:rsidR="00B7455E" w:rsidRPr="00D02E97">
        <w:rPr>
          <w:rFonts w:ascii="Times New Roman" w:hAnsi="Times New Roman" w:cs="Times New Roman"/>
          <w:sz w:val="24"/>
          <w:szCs w:val="24"/>
          <w:lang w:val="en-CA"/>
        </w:rPr>
        <w:t>oday</w:t>
      </w:r>
      <w:r w:rsidR="00B31AF1">
        <w:rPr>
          <w:rFonts w:ascii="Times New Roman" w:hAnsi="Times New Roman" w:cs="Times New Roman"/>
          <w:sz w:val="24"/>
          <w:szCs w:val="24"/>
          <w:lang w:val="en-CA"/>
        </w:rPr>
        <w:t>,</w:t>
      </w:r>
      <w:r w:rsidR="00B7455E" w:rsidRPr="00D02E97">
        <w:rPr>
          <w:rFonts w:ascii="Times New Roman" w:hAnsi="Times New Roman" w:cs="Times New Roman"/>
          <w:sz w:val="24"/>
          <w:szCs w:val="24"/>
          <w:lang w:val="en-CA"/>
        </w:rPr>
        <w:t xml:space="preserve"> lawyers and judges </w:t>
      </w:r>
      <w:r w:rsidR="00D02E97" w:rsidRPr="00D02E97">
        <w:rPr>
          <w:rFonts w:ascii="Times New Roman" w:hAnsi="Times New Roman" w:cs="Times New Roman"/>
          <w:sz w:val="24"/>
          <w:szCs w:val="24"/>
          <w:lang w:val="en-CA"/>
        </w:rPr>
        <w:t xml:space="preserve">at </w:t>
      </w:r>
      <w:r w:rsidR="00411BA9">
        <w:rPr>
          <w:rFonts w:ascii="Times New Roman" w:hAnsi="Times New Roman" w:cs="Times New Roman"/>
          <w:sz w:val="24"/>
          <w:szCs w:val="24"/>
          <w:lang w:val="en-CA"/>
        </w:rPr>
        <w:t xml:space="preserve">the </w:t>
      </w:r>
      <w:r w:rsidR="00D02E97" w:rsidRPr="00D02E97">
        <w:rPr>
          <w:rFonts w:ascii="Times New Roman" w:hAnsi="Times New Roman" w:cs="Times New Roman"/>
          <w:sz w:val="24"/>
          <w:szCs w:val="24"/>
          <w:lang w:val="en-CA"/>
        </w:rPr>
        <w:t xml:space="preserve">national level </w:t>
      </w:r>
      <w:r w:rsidR="00B7455E" w:rsidRPr="00D02E97">
        <w:rPr>
          <w:rFonts w:ascii="Times New Roman" w:hAnsi="Times New Roman" w:cs="Times New Roman"/>
          <w:sz w:val="24"/>
          <w:szCs w:val="24"/>
          <w:lang w:val="en-CA"/>
        </w:rPr>
        <w:t xml:space="preserve">have to </w:t>
      </w:r>
      <w:r w:rsidR="001E38DF">
        <w:rPr>
          <w:rFonts w:ascii="Times New Roman" w:hAnsi="Times New Roman" w:cs="Times New Roman"/>
          <w:sz w:val="24"/>
          <w:szCs w:val="24"/>
          <w:lang w:val="en-CA"/>
        </w:rPr>
        <w:t>comprehend</w:t>
      </w:r>
      <w:r w:rsidR="00F74FDA" w:rsidRPr="00D02E97">
        <w:rPr>
          <w:rFonts w:ascii="Times New Roman" w:hAnsi="Times New Roman" w:cs="Times New Roman"/>
          <w:sz w:val="24"/>
          <w:szCs w:val="24"/>
          <w:lang w:val="en-CA"/>
        </w:rPr>
        <w:t xml:space="preserve"> the principle of</w:t>
      </w:r>
      <w:r w:rsidR="00B7455E" w:rsidRPr="00D02E97">
        <w:rPr>
          <w:rFonts w:ascii="Times New Roman" w:hAnsi="Times New Roman" w:cs="Times New Roman"/>
          <w:sz w:val="24"/>
          <w:szCs w:val="24"/>
          <w:lang w:val="en-CA"/>
        </w:rPr>
        <w:t xml:space="preserve"> proportionality primarily </w:t>
      </w:r>
      <w:r w:rsidR="00D02E97" w:rsidRPr="00D02E97">
        <w:rPr>
          <w:rFonts w:ascii="Times New Roman" w:hAnsi="Times New Roman" w:cs="Times New Roman"/>
          <w:sz w:val="24"/>
          <w:szCs w:val="24"/>
          <w:lang w:val="en-CA"/>
        </w:rPr>
        <w:t xml:space="preserve">because it is </w:t>
      </w:r>
      <w:r w:rsidR="00D02E97" w:rsidRPr="00316393">
        <w:rPr>
          <w:rFonts w:ascii="Times New Roman" w:hAnsi="Times New Roman" w:cs="Times New Roman"/>
          <w:sz w:val="24"/>
          <w:szCs w:val="24"/>
          <w:lang w:val="en-CA"/>
        </w:rPr>
        <w:t>part and parcel</w:t>
      </w:r>
      <w:r w:rsidR="00B7455E" w:rsidRPr="00D02E97">
        <w:rPr>
          <w:rFonts w:ascii="Times New Roman" w:hAnsi="Times New Roman" w:cs="Times New Roman"/>
          <w:sz w:val="24"/>
          <w:szCs w:val="24"/>
          <w:lang w:val="en-US"/>
        </w:rPr>
        <w:t xml:space="preserve"> of the </w:t>
      </w:r>
      <w:r w:rsidR="00457179">
        <w:rPr>
          <w:rFonts w:ascii="Times New Roman" w:hAnsi="Times New Roman" w:cs="Times New Roman"/>
          <w:sz w:val="24"/>
          <w:szCs w:val="24"/>
          <w:lang w:val="en-US"/>
        </w:rPr>
        <w:t>Strasbourg Court</w:t>
      </w:r>
      <w:r w:rsidR="00F2389E">
        <w:rPr>
          <w:rFonts w:ascii="Times New Roman" w:hAnsi="Times New Roman" w:cs="Times New Roman"/>
          <w:sz w:val="24"/>
          <w:szCs w:val="24"/>
          <w:lang w:val="en-US"/>
        </w:rPr>
        <w:t>’</w:t>
      </w:r>
      <w:r w:rsidR="00457179">
        <w:rPr>
          <w:rFonts w:ascii="Times New Roman" w:hAnsi="Times New Roman" w:cs="Times New Roman"/>
          <w:sz w:val="24"/>
          <w:szCs w:val="24"/>
          <w:lang w:val="en-US"/>
        </w:rPr>
        <w:t>s</w:t>
      </w:r>
      <w:r w:rsidR="00F2389E">
        <w:rPr>
          <w:rFonts w:ascii="Times New Roman" w:hAnsi="Times New Roman" w:cs="Times New Roman"/>
          <w:sz w:val="24"/>
          <w:szCs w:val="24"/>
          <w:lang w:val="en-US"/>
        </w:rPr>
        <w:t xml:space="preserve"> case law</w:t>
      </w:r>
      <w:r>
        <w:rPr>
          <w:rFonts w:ascii="Times New Roman" w:hAnsi="Times New Roman" w:cs="Times New Roman"/>
          <w:sz w:val="24"/>
          <w:szCs w:val="24"/>
          <w:lang w:val="en-US"/>
        </w:rPr>
        <w:t xml:space="preserve">, </w:t>
      </w:r>
      <w:r w:rsidR="0052490E">
        <w:rPr>
          <w:rFonts w:ascii="Times New Roman" w:hAnsi="Times New Roman" w:cs="Times New Roman"/>
          <w:sz w:val="24"/>
          <w:szCs w:val="24"/>
          <w:lang w:val="en-US"/>
        </w:rPr>
        <w:t>th</w:t>
      </w:r>
      <w:r w:rsidR="005823CD">
        <w:rPr>
          <w:rFonts w:ascii="Times New Roman" w:hAnsi="Times New Roman" w:cs="Times New Roman"/>
          <w:sz w:val="24"/>
          <w:szCs w:val="24"/>
          <w:lang w:val="en-US"/>
        </w:rPr>
        <w:t>e</w:t>
      </w:r>
      <w:r w:rsidR="0052490E">
        <w:rPr>
          <w:rFonts w:ascii="Times New Roman" w:hAnsi="Times New Roman" w:cs="Times New Roman"/>
          <w:sz w:val="24"/>
          <w:szCs w:val="24"/>
          <w:lang w:val="en-US"/>
        </w:rPr>
        <w:t xml:space="preserve"> contribution</w:t>
      </w:r>
      <w:r w:rsidR="00B7455E">
        <w:rPr>
          <w:rFonts w:ascii="Times New Roman" w:hAnsi="Times New Roman" w:cs="Times New Roman"/>
          <w:sz w:val="24"/>
          <w:szCs w:val="24"/>
          <w:lang w:val="en-US"/>
        </w:rPr>
        <w:t xml:space="preserve"> </w:t>
      </w:r>
      <w:r w:rsidR="00B31AF1">
        <w:rPr>
          <w:rFonts w:ascii="Times New Roman" w:hAnsi="Times New Roman" w:cs="Times New Roman"/>
          <w:sz w:val="24"/>
          <w:szCs w:val="24"/>
          <w:lang w:val="en-US"/>
        </w:rPr>
        <w:t xml:space="preserve">then </w:t>
      </w:r>
      <w:r w:rsidR="0052490E">
        <w:rPr>
          <w:rFonts w:ascii="Times New Roman" w:hAnsi="Times New Roman" w:cs="Times New Roman"/>
          <w:sz w:val="24"/>
          <w:szCs w:val="24"/>
          <w:lang w:val="en-US"/>
        </w:rPr>
        <w:t xml:space="preserve">offers a brief overview of </w:t>
      </w:r>
      <w:r w:rsidR="00B7455E">
        <w:rPr>
          <w:rFonts w:ascii="Times New Roman" w:hAnsi="Times New Roman" w:cs="Times New Roman"/>
          <w:sz w:val="24"/>
          <w:szCs w:val="24"/>
          <w:lang w:val="en-US"/>
        </w:rPr>
        <w:t xml:space="preserve">the content of the </w:t>
      </w:r>
      <w:r w:rsidR="008946CB">
        <w:rPr>
          <w:rFonts w:ascii="Times New Roman" w:hAnsi="Times New Roman" w:cs="Times New Roman"/>
          <w:sz w:val="24"/>
          <w:szCs w:val="24"/>
          <w:lang w:val="en-US"/>
        </w:rPr>
        <w:t xml:space="preserve">proportionality </w:t>
      </w:r>
      <w:r w:rsidR="00B7455E">
        <w:rPr>
          <w:rFonts w:ascii="Times New Roman" w:hAnsi="Times New Roman" w:cs="Times New Roman"/>
          <w:sz w:val="24"/>
          <w:szCs w:val="24"/>
          <w:lang w:val="en-US"/>
        </w:rPr>
        <w:t>principle a</w:t>
      </w:r>
      <w:r w:rsidR="00411BA9">
        <w:rPr>
          <w:rFonts w:ascii="Times New Roman" w:hAnsi="Times New Roman" w:cs="Times New Roman"/>
          <w:sz w:val="24"/>
          <w:szCs w:val="24"/>
          <w:lang w:val="en-US"/>
        </w:rPr>
        <w:t xml:space="preserve">s conceived of by </w:t>
      </w:r>
      <w:r w:rsidR="008029B1">
        <w:rPr>
          <w:rFonts w:ascii="Times New Roman" w:hAnsi="Times New Roman" w:cs="Times New Roman"/>
          <w:sz w:val="24"/>
          <w:szCs w:val="24"/>
          <w:lang w:val="en-US"/>
        </w:rPr>
        <w:t>the Strasbourg</w:t>
      </w:r>
      <w:r w:rsidR="00F2389E">
        <w:rPr>
          <w:rFonts w:ascii="Times New Roman" w:hAnsi="Times New Roman" w:cs="Times New Roman"/>
          <w:sz w:val="24"/>
          <w:szCs w:val="24"/>
          <w:lang w:val="en-US"/>
        </w:rPr>
        <w:t xml:space="preserve"> Court</w:t>
      </w:r>
      <w:r w:rsidR="00B7455E">
        <w:rPr>
          <w:rFonts w:ascii="Times New Roman" w:hAnsi="Times New Roman" w:cs="Times New Roman"/>
          <w:sz w:val="24"/>
          <w:szCs w:val="24"/>
          <w:lang w:val="en-US"/>
        </w:rPr>
        <w:t xml:space="preserve">. </w:t>
      </w:r>
      <w:r w:rsidR="0052490E">
        <w:rPr>
          <w:rFonts w:ascii="Times New Roman" w:hAnsi="Times New Roman" w:cs="Times New Roman"/>
          <w:sz w:val="24"/>
          <w:szCs w:val="24"/>
          <w:lang w:val="en-US"/>
        </w:rPr>
        <w:t xml:space="preserve">It </w:t>
      </w:r>
      <w:r w:rsidR="001E38DF">
        <w:rPr>
          <w:rFonts w:ascii="Times New Roman" w:hAnsi="Times New Roman" w:cs="Times New Roman"/>
          <w:sz w:val="24"/>
          <w:szCs w:val="24"/>
          <w:lang w:val="en-US"/>
        </w:rPr>
        <w:t xml:space="preserve">then </w:t>
      </w:r>
      <w:r w:rsidR="001E38DF" w:rsidRPr="006A4348">
        <w:rPr>
          <w:rFonts w:ascii="Times New Roman" w:hAnsi="Times New Roman" w:cs="Times New Roman"/>
          <w:sz w:val="24"/>
          <w:szCs w:val="24"/>
          <w:lang w:val="en-US"/>
        </w:rPr>
        <w:t>analyses</w:t>
      </w:r>
      <w:r w:rsidR="008946CB" w:rsidRPr="006A4348">
        <w:rPr>
          <w:rFonts w:ascii="Times New Roman" w:hAnsi="Times New Roman" w:cs="Times New Roman"/>
          <w:sz w:val="24"/>
          <w:szCs w:val="24"/>
          <w:lang w:val="en-US"/>
        </w:rPr>
        <w:t xml:space="preserve"> </w:t>
      </w:r>
      <w:r w:rsidR="006A4348" w:rsidRPr="006A4348">
        <w:rPr>
          <w:rFonts w:ascii="Times New Roman" w:hAnsi="Times New Roman" w:cs="Times New Roman"/>
          <w:sz w:val="24"/>
          <w:szCs w:val="24"/>
          <w:lang w:val="en-US"/>
        </w:rPr>
        <w:t>whether</w:t>
      </w:r>
      <w:r w:rsidR="008946CB" w:rsidRPr="006A4348">
        <w:rPr>
          <w:rFonts w:ascii="Times New Roman" w:hAnsi="Times New Roman" w:cs="Times New Roman"/>
          <w:sz w:val="24"/>
          <w:szCs w:val="24"/>
          <w:lang w:val="en-US"/>
        </w:rPr>
        <w:t xml:space="preserve"> and to what extent this interpretation</w:t>
      </w:r>
      <w:r w:rsidR="00B7455E" w:rsidRPr="006A4348">
        <w:rPr>
          <w:rFonts w:ascii="Times New Roman" w:hAnsi="Times New Roman" w:cs="Times New Roman"/>
          <w:sz w:val="24"/>
          <w:szCs w:val="24"/>
          <w:lang w:val="en-US"/>
        </w:rPr>
        <w:t xml:space="preserve"> has been implemented by the Belgian</w:t>
      </w:r>
      <w:r w:rsidR="00B7455E">
        <w:rPr>
          <w:rFonts w:ascii="Times New Roman" w:hAnsi="Times New Roman" w:cs="Times New Roman"/>
          <w:sz w:val="24"/>
          <w:szCs w:val="24"/>
          <w:lang w:val="en-US"/>
        </w:rPr>
        <w:t xml:space="preserve"> </w:t>
      </w:r>
      <w:r w:rsidR="00B7455E" w:rsidRPr="00D02E97">
        <w:rPr>
          <w:rFonts w:ascii="Times New Roman" w:hAnsi="Times New Roman" w:cs="Times New Roman"/>
          <w:sz w:val="24"/>
          <w:szCs w:val="24"/>
          <w:lang w:val="en-US"/>
        </w:rPr>
        <w:t>Council</w:t>
      </w:r>
      <w:r w:rsidR="00D02E97">
        <w:rPr>
          <w:rFonts w:ascii="Times New Roman" w:hAnsi="Times New Roman" w:cs="Times New Roman"/>
          <w:sz w:val="24"/>
          <w:szCs w:val="24"/>
          <w:lang w:val="en-US"/>
        </w:rPr>
        <w:t xml:space="preserve"> </w:t>
      </w:r>
      <w:r w:rsidR="00B7455E">
        <w:rPr>
          <w:rFonts w:ascii="Times New Roman" w:hAnsi="Times New Roman" w:cs="Times New Roman"/>
          <w:sz w:val="24"/>
          <w:szCs w:val="24"/>
          <w:lang w:val="en-US"/>
        </w:rPr>
        <w:t>of State</w:t>
      </w:r>
      <w:r w:rsidR="00D02E97">
        <w:rPr>
          <w:rFonts w:ascii="Times New Roman" w:hAnsi="Times New Roman" w:cs="Times New Roman"/>
          <w:sz w:val="24"/>
          <w:szCs w:val="24"/>
          <w:lang w:val="en-US"/>
        </w:rPr>
        <w:t xml:space="preserve"> </w:t>
      </w:r>
      <w:r w:rsidR="00D02E97" w:rsidRPr="00D02E97">
        <w:rPr>
          <w:rFonts w:ascii="Times New Roman" w:hAnsi="Times New Roman" w:cs="Times New Roman"/>
          <w:sz w:val="24"/>
          <w:szCs w:val="24"/>
          <w:lang w:val="en-US"/>
        </w:rPr>
        <w:t>(</w:t>
      </w:r>
      <w:r w:rsidR="00D02E97" w:rsidRPr="00D02E97">
        <w:rPr>
          <w:rFonts w:ascii="Times New Roman" w:hAnsi="Times New Roman" w:cs="Times New Roman"/>
          <w:sz w:val="24"/>
          <w:szCs w:val="24"/>
          <w:lang w:val="en-CA"/>
        </w:rPr>
        <w:t>this is the highest general administrative court</w:t>
      </w:r>
      <w:r w:rsidR="001F5DF1">
        <w:rPr>
          <w:rFonts w:ascii="Times New Roman" w:hAnsi="Times New Roman" w:cs="Times New Roman"/>
          <w:sz w:val="24"/>
          <w:szCs w:val="24"/>
          <w:lang w:val="en-CA"/>
        </w:rPr>
        <w:t xml:space="preserve"> in Belgium</w:t>
      </w:r>
      <w:r w:rsidR="00D02E97" w:rsidRPr="00D02E97">
        <w:rPr>
          <w:rFonts w:ascii="Times New Roman" w:hAnsi="Times New Roman" w:cs="Times New Roman"/>
          <w:sz w:val="24"/>
          <w:szCs w:val="24"/>
          <w:lang w:val="en-CA"/>
        </w:rPr>
        <w:t>)</w:t>
      </w:r>
      <w:r w:rsidR="00B7455E">
        <w:rPr>
          <w:rFonts w:ascii="Times New Roman" w:hAnsi="Times New Roman" w:cs="Times New Roman"/>
          <w:sz w:val="24"/>
          <w:szCs w:val="24"/>
          <w:lang w:val="en-US"/>
        </w:rPr>
        <w:t>.</w:t>
      </w:r>
      <w:r w:rsidR="00316393">
        <w:rPr>
          <w:rFonts w:ascii="Times New Roman" w:hAnsi="Times New Roman" w:cs="Times New Roman"/>
          <w:sz w:val="24"/>
          <w:szCs w:val="24"/>
          <w:lang w:val="en-US"/>
        </w:rPr>
        <w:t xml:space="preserve"> </w:t>
      </w:r>
      <w:r w:rsidR="00B7455E">
        <w:rPr>
          <w:rFonts w:ascii="Times New Roman" w:hAnsi="Times New Roman" w:cs="Times New Roman"/>
          <w:sz w:val="24"/>
          <w:szCs w:val="24"/>
          <w:lang w:val="en-US"/>
        </w:rPr>
        <w:t>The Council</w:t>
      </w:r>
      <w:r w:rsidR="006D49B8">
        <w:rPr>
          <w:rFonts w:ascii="Times New Roman" w:hAnsi="Times New Roman" w:cs="Times New Roman"/>
          <w:sz w:val="24"/>
          <w:szCs w:val="24"/>
          <w:lang w:val="en-US"/>
        </w:rPr>
        <w:t xml:space="preserve"> of State</w:t>
      </w:r>
      <w:r w:rsidR="00B7455E">
        <w:rPr>
          <w:rFonts w:ascii="Times New Roman" w:hAnsi="Times New Roman" w:cs="Times New Roman"/>
          <w:sz w:val="24"/>
          <w:szCs w:val="24"/>
          <w:lang w:val="en-US"/>
        </w:rPr>
        <w:t xml:space="preserve">’s case law </w:t>
      </w:r>
      <w:r w:rsidR="00212283">
        <w:rPr>
          <w:rFonts w:ascii="Times New Roman" w:hAnsi="Times New Roman" w:cs="Times New Roman"/>
          <w:sz w:val="24"/>
          <w:szCs w:val="24"/>
          <w:lang w:val="en-US"/>
        </w:rPr>
        <w:t xml:space="preserve">is interesting to examine, </w:t>
      </w:r>
      <w:r w:rsidR="00212283" w:rsidRPr="00901259">
        <w:rPr>
          <w:rFonts w:ascii="Times New Roman" w:hAnsi="Times New Roman" w:cs="Times New Roman"/>
          <w:sz w:val="24"/>
          <w:szCs w:val="24"/>
          <w:lang w:val="en-US"/>
        </w:rPr>
        <w:t xml:space="preserve">since </w:t>
      </w:r>
      <w:r w:rsidR="001F5DF1" w:rsidRPr="00901259">
        <w:rPr>
          <w:rFonts w:ascii="Times New Roman" w:hAnsi="Times New Roman" w:cs="Times New Roman"/>
          <w:sz w:val="24"/>
          <w:szCs w:val="24"/>
          <w:lang w:val="en-CA"/>
        </w:rPr>
        <w:t>the Council</w:t>
      </w:r>
      <w:r w:rsidR="00B7455E" w:rsidRPr="00901259">
        <w:rPr>
          <w:rFonts w:ascii="Times New Roman" w:hAnsi="Times New Roman" w:cs="Times New Roman"/>
          <w:sz w:val="24"/>
          <w:szCs w:val="24"/>
          <w:lang w:val="en-CA"/>
        </w:rPr>
        <w:t xml:space="preserve"> applies a different proportionality test</w:t>
      </w:r>
      <w:r w:rsidR="00EA5AA9">
        <w:rPr>
          <w:rFonts w:ascii="Times New Roman" w:hAnsi="Times New Roman" w:cs="Times New Roman"/>
          <w:sz w:val="24"/>
          <w:szCs w:val="24"/>
          <w:lang w:val="en-CA"/>
        </w:rPr>
        <w:t xml:space="preserve"> </w:t>
      </w:r>
      <w:r w:rsidR="00B7455E" w:rsidRPr="00901259">
        <w:rPr>
          <w:rFonts w:ascii="Times New Roman" w:hAnsi="Times New Roman" w:cs="Times New Roman"/>
          <w:sz w:val="24"/>
          <w:szCs w:val="24"/>
          <w:lang w:val="en-CA"/>
        </w:rPr>
        <w:t xml:space="preserve">depending on the legal </w:t>
      </w:r>
      <w:r w:rsidR="001E38DF" w:rsidRPr="00901259">
        <w:rPr>
          <w:rFonts w:ascii="Times New Roman" w:hAnsi="Times New Roman" w:cs="Times New Roman"/>
          <w:sz w:val="24"/>
          <w:szCs w:val="24"/>
          <w:lang w:val="en-CA"/>
        </w:rPr>
        <w:t>classification</w:t>
      </w:r>
      <w:r w:rsidR="00B7455E" w:rsidRPr="00901259">
        <w:rPr>
          <w:rFonts w:ascii="Times New Roman" w:hAnsi="Times New Roman" w:cs="Times New Roman"/>
          <w:sz w:val="24"/>
          <w:szCs w:val="24"/>
          <w:lang w:val="en-CA"/>
        </w:rPr>
        <w:t xml:space="preserve"> of the measure imposed</w:t>
      </w:r>
      <w:r w:rsidR="00B7455E">
        <w:rPr>
          <w:rFonts w:ascii="Times New Roman" w:hAnsi="Times New Roman" w:cs="Times New Roman"/>
          <w:sz w:val="24"/>
          <w:szCs w:val="24"/>
          <w:lang w:val="en-CA"/>
        </w:rPr>
        <w:t xml:space="preserve">. </w:t>
      </w:r>
      <w:r w:rsidR="0052490E">
        <w:rPr>
          <w:rFonts w:ascii="Times New Roman" w:hAnsi="Times New Roman" w:cs="Times New Roman"/>
          <w:sz w:val="24"/>
          <w:szCs w:val="24"/>
          <w:lang w:val="en-CA"/>
        </w:rPr>
        <w:t>This is then followed by</w:t>
      </w:r>
      <w:r w:rsidR="00B7455E">
        <w:rPr>
          <w:rFonts w:ascii="Times New Roman" w:hAnsi="Times New Roman" w:cs="Times New Roman"/>
          <w:sz w:val="24"/>
          <w:szCs w:val="24"/>
          <w:lang w:val="en-CA"/>
        </w:rPr>
        <w:t xml:space="preserve"> a</w:t>
      </w:r>
      <w:r w:rsidR="0052490E">
        <w:rPr>
          <w:rFonts w:ascii="Times New Roman" w:hAnsi="Times New Roman" w:cs="Times New Roman"/>
          <w:sz w:val="24"/>
          <w:szCs w:val="24"/>
          <w:lang w:val="en-CA"/>
        </w:rPr>
        <w:t>n analysis of</w:t>
      </w:r>
      <w:r w:rsidR="00B7455E">
        <w:rPr>
          <w:rFonts w:ascii="Times New Roman" w:hAnsi="Times New Roman" w:cs="Times New Roman"/>
          <w:sz w:val="24"/>
          <w:szCs w:val="24"/>
          <w:lang w:val="en-CA"/>
        </w:rPr>
        <w:t xml:space="preserve"> the proportionality principle in </w:t>
      </w:r>
      <w:r>
        <w:rPr>
          <w:rFonts w:ascii="Times New Roman" w:hAnsi="Times New Roman" w:cs="Times New Roman"/>
          <w:sz w:val="24"/>
          <w:szCs w:val="24"/>
          <w:lang w:val="en-CA"/>
        </w:rPr>
        <w:t xml:space="preserve">UK </w:t>
      </w:r>
      <w:r w:rsidR="00B7455E">
        <w:rPr>
          <w:rFonts w:ascii="Times New Roman" w:hAnsi="Times New Roman" w:cs="Times New Roman"/>
          <w:sz w:val="24"/>
          <w:szCs w:val="24"/>
          <w:lang w:val="en-CA"/>
        </w:rPr>
        <w:t xml:space="preserve">case </w:t>
      </w:r>
      <w:r w:rsidR="00B7455E" w:rsidRPr="003A413D">
        <w:rPr>
          <w:rFonts w:ascii="Times New Roman" w:hAnsi="Times New Roman" w:cs="Times New Roman"/>
          <w:sz w:val="24"/>
          <w:szCs w:val="24"/>
          <w:lang w:val="en-CA"/>
        </w:rPr>
        <w:t>law</w:t>
      </w:r>
      <w:r w:rsidR="003128AE" w:rsidRPr="003A413D">
        <w:rPr>
          <w:rStyle w:val="Odwoanieprzypisudolnego"/>
          <w:rFonts w:ascii="Times New Roman" w:hAnsi="Times New Roman" w:cs="Times New Roman"/>
          <w:sz w:val="24"/>
          <w:szCs w:val="24"/>
          <w:lang w:val="en-CA"/>
        </w:rPr>
        <w:footnoteReference w:id="32"/>
      </w:r>
      <w:r w:rsidR="00316393" w:rsidRPr="003A413D">
        <w:rPr>
          <w:rFonts w:ascii="Times New Roman" w:hAnsi="Times New Roman" w:cs="Times New Roman"/>
          <w:sz w:val="24"/>
          <w:szCs w:val="24"/>
          <w:lang w:val="en-CA"/>
        </w:rPr>
        <w:t>, where it is a relative newcomer</w:t>
      </w:r>
      <w:r w:rsidR="00EA5AA9" w:rsidRPr="003A413D">
        <w:rPr>
          <w:rFonts w:ascii="Times New Roman" w:hAnsi="Times New Roman" w:cs="Times New Roman"/>
          <w:sz w:val="24"/>
          <w:szCs w:val="24"/>
          <w:lang w:val="en-US"/>
        </w:rPr>
        <w:t xml:space="preserve"> used in cases that fall under the ECHR</w:t>
      </w:r>
      <w:r w:rsidR="00EA5AA9" w:rsidRPr="00D82902">
        <w:rPr>
          <w:rStyle w:val="Odwoanieprzypisudolnego"/>
          <w:rFonts w:ascii="Times New Roman" w:hAnsi="Times New Roman" w:cs="Times New Roman"/>
          <w:sz w:val="24"/>
          <w:szCs w:val="24"/>
          <w:lang w:val="en-US"/>
        </w:rPr>
        <w:footnoteReference w:id="33"/>
      </w:r>
      <w:r w:rsidR="00EA5AA9" w:rsidRPr="00D82902">
        <w:rPr>
          <w:rFonts w:ascii="Times New Roman" w:hAnsi="Times New Roman" w:cs="Times New Roman"/>
          <w:sz w:val="24"/>
          <w:szCs w:val="24"/>
          <w:lang w:val="en-US"/>
        </w:rPr>
        <w:t xml:space="preserve">. </w:t>
      </w:r>
      <w:r w:rsidR="001B35FC" w:rsidRPr="00D82902">
        <w:rPr>
          <w:rFonts w:ascii="Times New Roman" w:hAnsi="Times New Roman" w:cs="Times New Roman"/>
          <w:sz w:val="24"/>
          <w:szCs w:val="24"/>
          <w:lang w:val="en-US"/>
        </w:rPr>
        <w:t>In</w:t>
      </w:r>
      <w:r w:rsidR="001B35FC" w:rsidRPr="00903BFA">
        <w:rPr>
          <w:rFonts w:ascii="Times New Roman" w:hAnsi="Times New Roman" w:cs="Times New Roman"/>
          <w:sz w:val="24"/>
          <w:szCs w:val="24"/>
          <w:lang w:val="en-US"/>
        </w:rPr>
        <w:t xml:space="preserve"> cases </w:t>
      </w:r>
      <w:r w:rsidR="001B35FC">
        <w:rPr>
          <w:rFonts w:ascii="Times New Roman" w:hAnsi="Times New Roman" w:cs="Times New Roman"/>
          <w:sz w:val="24"/>
          <w:szCs w:val="24"/>
          <w:lang w:val="en-US"/>
        </w:rPr>
        <w:t xml:space="preserve">that do not concern these </w:t>
      </w:r>
      <w:r w:rsidR="001B35FC" w:rsidRPr="00316393">
        <w:rPr>
          <w:rFonts w:ascii="Times New Roman" w:hAnsi="Times New Roman" w:cs="Times New Roman"/>
          <w:sz w:val="24"/>
          <w:szCs w:val="24"/>
          <w:lang w:val="en-US"/>
        </w:rPr>
        <w:t>Convention rights</w:t>
      </w:r>
      <w:r w:rsidR="00316393">
        <w:rPr>
          <w:rFonts w:ascii="Times New Roman" w:hAnsi="Times New Roman" w:cs="Times New Roman"/>
          <w:sz w:val="24"/>
          <w:szCs w:val="24"/>
          <w:lang w:val="en-US"/>
        </w:rPr>
        <w:t>,</w:t>
      </w:r>
      <w:r w:rsidR="001B35FC" w:rsidRPr="00316393">
        <w:rPr>
          <w:rFonts w:ascii="Times New Roman" w:hAnsi="Times New Roman" w:cs="Times New Roman"/>
          <w:sz w:val="24"/>
          <w:szCs w:val="24"/>
          <w:lang w:val="en-US"/>
        </w:rPr>
        <w:t xml:space="preserve"> the</w:t>
      </w:r>
      <w:r w:rsidR="001B35FC" w:rsidRPr="00903BFA">
        <w:rPr>
          <w:rFonts w:ascii="Times New Roman" w:hAnsi="Times New Roman" w:cs="Times New Roman"/>
          <w:sz w:val="24"/>
          <w:szCs w:val="24"/>
          <w:lang w:val="en-US"/>
        </w:rPr>
        <w:t xml:space="preserve"> national courts </w:t>
      </w:r>
      <w:r w:rsidR="006A4348">
        <w:rPr>
          <w:rFonts w:ascii="Times New Roman" w:hAnsi="Times New Roman" w:cs="Times New Roman"/>
          <w:sz w:val="24"/>
          <w:szCs w:val="24"/>
          <w:lang w:val="en-US"/>
        </w:rPr>
        <w:t xml:space="preserve">generally continue to apply the traditional Wednesbury unreasonableness </w:t>
      </w:r>
      <w:r w:rsidR="001B35FC" w:rsidRPr="00903BFA">
        <w:rPr>
          <w:rFonts w:ascii="Times New Roman" w:hAnsi="Times New Roman" w:cs="Times New Roman"/>
          <w:sz w:val="24"/>
          <w:szCs w:val="24"/>
          <w:lang w:val="en-US"/>
        </w:rPr>
        <w:t>test</w:t>
      </w:r>
      <w:r w:rsidR="001B35FC" w:rsidRPr="00903BFA">
        <w:rPr>
          <w:rStyle w:val="Odwoanieprzypisudolnego"/>
          <w:rFonts w:ascii="Times New Roman" w:hAnsi="Times New Roman" w:cs="Times New Roman"/>
          <w:sz w:val="24"/>
          <w:szCs w:val="24"/>
          <w:lang w:val="en-US"/>
        </w:rPr>
        <w:footnoteReference w:id="34"/>
      </w:r>
      <w:r w:rsidR="00EA5AA9" w:rsidRPr="002C37CF">
        <w:rPr>
          <w:rFonts w:ascii="Times New Roman" w:hAnsi="Times New Roman" w:cs="Times New Roman"/>
          <w:sz w:val="24"/>
          <w:szCs w:val="24"/>
          <w:lang w:val="en-CA"/>
        </w:rPr>
        <w:t>.</w:t>
      </w:r>
      <w:r w:rsidR="00EA5AA9">
        <w:rPr>
          <w:rFonts w:ascii="Times New Roman" w:hAnsi="Times New Roman" w:cs="Times New Roman"/>
          <w:sz w:val="24"/>
          <w:szCs w:val="24"/>
          <w:lang w:val="en-US"/>
        </w:rPr>
        <w:t xml:space="preserve"> </w:t>
      </w:r>
      <w:r w:rsidR="007C115A">
        <w:rPr>
          <w:rFonts w:ascii="Times New Roman" w:hAnsi="Times New Roman" w:cs="Times New Roman"/>
          <w:sz w:val="24"/>
          <w:szCs w:val="24"/>
          <w:lang w:val="en-CA"/>
        </w:rPr>
        <w:t>The contribution</w:t>
      </w:r>
      <w:r w:rsidR="0052490E">
        <w:rPr>
          <w:rFonts w:ascii="Times New Roman" w:hAnsi="Times New Roman" w:cs="Times New Roman"/>
          <w:sz w:val="24"/>
          <w:szCs w:val="24"/>
          <w:lang w:val="en-CA"/>
        </w:rPr>
        <w:t xml:space="preserve"> ends with </w:t>
      </w:r>
      <w:r>
        <w:rPr>
          <w:rFonts w:ascii="Times New Roman" w:hAnsi="Times New Roman" w:cs="Times New Roman"/>
          <w:sz w:val="24"/>
          <w:szCs w:val="24"/>
          <w:lang w:val="en-CA"/>
        </w:rPr>
        <w:t xml:space="preserve">some </w:t>
      </w:r>
      <w:r w:rsidR="0052490E">
        <w:rPr>
          <w:rFonts w:ascii="Times New Roman" w:hAnsi="Times New Roman" w:cs="Times New Roman"/>
          <w:sz w:val="24"/>
          <w:szCs w:val="24"/>
          <w:lang w:val="en-CA"/>
        </w:rPr>
        <w:t>concluding remarks.</w:t>
      </w:r>
    </w:p>
    <w:p w14:paraId="1989CC88" w14:textId="77777777" w:rsidR="00D64E57" w:rsidRDefault="00D64E57" w:rsidP="00D64E57">
      <w:pPr>
        <w:spacing w:after="0"/>
        <w:jc w:val="both"/>
        <w:rPr>
          <w:rFonts w:ascii="Times New Roman" w:hAnsi="Times New Roman" w:cs="Times New Roman"/>
          <w:sz w:val="24"/>
          <w:szCs w:val="24"/>
          <w:lang w:val="en-CA"/>
        </w:rPr>
      </w:pPr>
    </w:p>
    <w:p w14:paraId="1D458FB2" w14:textId="4F0203E3" w:rsidR="0049278C" w:rsidRPr="00D8481D" w:rsidRDefault="00AB74E6" w:rsidP="00D8481D">
      <w:pPr>
        <w:pStyle w:val="Nagwek1"/>
        <w:rPr>
          <w:lang w:val="en-CA"/>
        </w:rPr>
      </w:pPr>
      <w:bookmarkStart w:id="3" w:name="_Toc453965891"/>
      <w:bookmarkStart w:id="4" w:name="_Toc462591608"/>
      <w:r>
        <w:rPr>
          <w:lang w:val="en-US"/>
        </w:rPr>
        <w:t xml:space="preserve">THE </w:t>
      </w:r>
      <w:r w:rsidR="00922C8A">
        <w:rPr>
          <w:lang w:val="en-US"/>
        </w:rPr>
        <w:t>N</w:t>
      </w:r>
      <w:r w:rsidR="00D8481D">
        <w:rPr>
          <w:lang w:val="en-US"/>
        </w:rPr>
        <w:t>ATURE OF AREA</w:t>
      </w:r>
      <w:r w:rsidR="004529E9">
        <w:rPr>
          <w:lang w:val="en-US"/>
        </w:rPr>
        <w:t>-</w:t>
      </w:r>
      <w:r w:rsidR="00D8481D">
        <w:rPr>
          <w:lang w:val="en-US"/>
        </w:rPr>
        <w:t>BASED RESTRICTIONS</w:t>
      </w:r>
      <w:bookmarkEnd w:id="3"/>
      <w:r w:rsidR="006C4404">
        <w:rPr>
          <w:lang w:val="en-US"/>
        </w:rPr>
        <w:t>: CIVIL, CRIMINAL OR BOTH?</w:t>
      </w:r>
      <w:bookmarkEnd w:id="4"/>
    </w:p>
    <w:p w14:paraId="10A668B9" w14:textId="77777777" w:rsidR="0049278C" w:rsidRDefault="0049278C" w:rsidP="0049278C">
      <w:pPr>
        <w:rPr>
          <w:rFonts w:ascii="Times New Roman" w:eastAsia="Times New Roman" w:hAnsi="Times New Roman" w:cs="Times New Roman"/>
          <w:sz w:val="24"/>
          <w:szCs w:val="24"/>
          <w:lang w:val="en-CA" w:eastAsia="nl-BE"/>
        </w:rPr>
      </w:pPr>
    </w:p>
    <w:p w14:paraId="57825660" w14:textId="203FBDE7" w:rsidR="00270D16" w:rsidRDefault="004F6DBB" w:rsidP="00A07C56">
      <w:pPr>
        <w:jc w:val="both"/>
        <w:rPr>
          <w:rFonts w:ascii="Times New Roman" w:hAnsi="Times New Roman" w:cs="Times New Roman"/>
          <w:sz w:val="24"/>
          <w:szCs w:val="24"/>
          <w:lang w:val="en-CA"/>
        </w:rPr>
      </w:pPr>
      <w:r>
        <w:rPr>
          <w:rFonts w:ascii="Times New Roman" w:hAnsi="Times New Roman" w:cs="Times New Roman"/>
          <w:sz w:val="24"/>
          <w:szCs w:val="24"/>
          <w:lang w:val="en-CA"/>
        </w:rPr>
        <w:t>In t</w:t>
      </w:r>
      <w:r>
        <w:rPr>
          <w:rFonts w:ascii="Times New Roman" w:hAnsi="Times New Roman" w:cs="Times New Roman"/>
          <w:sz w:val="24"/>
          <w:szCs w:val="24"/>
          <w:lang w:val="en-US"/>
        </w:rPr>
        <w:t xml:space="preserve">he Strasbourg Court’s case law, a distinction is made </w:t>
      </w:r>
      <w:r w:rsidR="00A07C56" w:rsidRPr="00A07C56">
        <w:rPr>
          <w:rFonts w:ascii="Times New Roman" w:hAnsi="Times New Roman" w:cs="Times New Roman"/>
          <w:sz w:val="24"/>
          <w:szCs w:val="24"/>
          <w:lang w:val="en-US"/>
        </w:rPr>
        <w:t>based</w:t>
      </w:r>
      <w:r w:rsidR="00A07C56">
        <w:rPr>
          <w:rFonts w:ascii="Times New Roman" w:hAnsi="Times New Roman" w:cs="Times New Roman"/>
          <w:sz w:val="24"/>
          <w:szCs w:val="24"/>
          <w:lang w:val="en-US"/>
        </w:rPr>
        <w:t xml:space="preserve"> on </w:t>
      </w:r>
      <w:r w:rsidR="00571696">
        <w:rPr>
          <w:rFonts w:ascii="Times New Roman" w:hAnsi="Times New Roman" w:cs="Times New Roman"/>
          <w:sz w:val="24"/>
          <w:szCs w:val="24"/>
          <w:lang w:val="en-US"/>
        </w:rPr>
        <w:t>Article</w:t>
      </w:r>
      <w:r>
        <w:rPr>
          <w:rFonts w:ascii="Times New Roman" w:hAnsi="Times New Roman" w:cs="Times New Roman"/>
          <w:sz w:val="24"/>
          <w:szCs w:val="24"/>
          <w:lang w:val="en-US"/>
        </w:rPr>
        <w:t xml:space="preserve"> 6</w:t>
      </w:r>
      <w:r w:rsidR="00094335">
        <w:rPr>
          <w:rFonts w:ascii="Times New Roman" w:hAnsi="Times New Roman" w:cs="Times New Roman"/>
          <w:sz w:val="24"/>
          <w:szCs w:val="24"/>
          <w:lang w:val="en-US"/>
        </w:rPr>
        <w:t>(1)</w:t>
      </w:r>
      <w:r>
        <w:rPr>
          <w:rFonts w:ascii="Times New Roman" w:hAnsi="Times New Roman" w:cs="Times New Roman"/>
          <w:sz w:val="24"/>
          <w:szCs w:val="24"/>
          <w:lang w:val="en-US"/>
        </w:rPr>
        <w:t xml:space="preserve"> ECHR between measures which are punitive in purpose</w:t>
      </w:r>
      <w:r w:rsidR="000D078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so-called </w:t>
      </w:r>
      <w:r w:rsidR="000D0788">
        <w:rPr>
          <w:rFonts w:ascii="Times New Roman" w:hAnsi="Times New Roman" w:cs="Times New Roman"/>
          <w:sz w:val="24"/>
          <w:szCs w:val="24"/>
          <w:lang w:val="en-US"/>
        </w:rPr>
        <w:t>‘</w:t>
      </w:r>
      <w:r>
        <w:rPr>
          <w:rFonts w:ascii="Times New Roman" w:hAnsi="Times New Roman" w:cs="Times New Roman"/>
          <w:sz w:val="24"/>
          <w:szCs w:val="24"/>
          <w:lang w:val="en-US"/>
        </w:rPr>
        <w:t>criminal charges</w:t>
      </w:r>
      <w:r w:rsidR="000D0788">
        <w:rPr>
          <w:rFonts w:ascii="Times New Roman" w:hAnsi="Times New Roman" w:cs="Times New Roman"/>
          <w:sz w:val="24"/>
          <w:szCs w:val="24"/>
          <w:lang w:val="en-US"/>
        </w:rPr>
        <w:t>’)</w:t>
      </w:r>
      <w:r>
        <w:rPr>
          <w:rFonts w:ascii="Times New Roman" w:hAnsi="Times New Roman" w:cs="Times New Roman"/>
          <w:sz w:val="24"/>
          <w:szCs w:val="24"/>
          <w:lang w:val="en-US"/>
        </w:rPr>
        <w:t xml:space="preserve"> and those with a </w:t>
      </w:r>
      <w:r w:rsidRPr="00311269">
        <w:rPr>
          <w:rFonts w:ascii="Times New Roman" w:hAnsi="Times New Roman" w:cs="Times New Roman"/>
          <w:sz w:val="24"/>
          <w:szCs w:val="24"/>
          <w:lang w:val="en-US"/>
        </w:rPr>
        <w:t xml:space="preserve">more preventive object.  When considering whether the measure imposed is </w:t>
      </w:r>
      <w:r w:rsidR="000D0788" w:rsidRPr="00311269">
        <w:rPr>
          <w:rFonts w:ascii="Times New Roman" w:hAnsi="Times New Roman" w:cs="Times New Roman"/>
          <w:sz w:val="24"/>
          <w:szCs w:val="24"/>
          <w:lang w:val="en-US"/>
        </w:rPr>
        <w:t>punitive</w:t>
      </w:r>
      <w:r w:rsidRPr="00311269">
        <w:rPr>
          <w:rFonts w:ascii="Times New Roman" w:hAnsi="Times New Roman" w:cs="Times New Roman"/>
          <w:sz w:val="24"/>
          <w:szCs w:val="24"/>
          <w:lang w:val="en-US"/>
        </w:rPr>
        <w:t xml:space="preserve"> or not for the purposes of </w:t>
      </w:r>
      <w:r w:rsidR="00571696" w:rsidRPr="00311269">
        <w:rPr>
          <w:rFonts w:ascii="Times New Roman" w:hAnsi="Times New Roman" w:cs="Times New Roman"/>
          <w:sz w:val="24"/>
          <w:szCs w:val="24"/>
          <w:lang w:val="en-US"/>
        </w:rPr>
        <w:t>Article</w:t>
      </w:r>
      <w:r w:rsidRPr="00311269">
        <w:rPr>
          <w:rFonts w:ascii="Times New Roman" w:hAnsi="Times New Roman" w:cs="Times New Roman"/>
          <w:sz w:val="24"/>
          <w:szCs w:val="24"/>
          <w:lang w:val="en-US"/>
        </w:rPr>
        <w:t xml:space="preserve"> 6, the Strasbourg Court applies an autonomous interpretation, involving </w:t>
      </w:r>
      <w:r w:rsidR="00ED2B1F" w:rsidRPr="00311269">
        <w:rPr>
          <w:rFonts w:ascii="Times New Roman" w:hAnsi="Times New Roman" w:cs="Times New Roman"/>
          <w:sz w:val="24"/>
          <w:szCs w:val="24"/>
          <w:lang w:val="en-US"/>
        </w:rPr>
        <w:t>a number of</w:t>
      </w:r>
      <w:r w:rsidRPr="00311269">
        <w:rPr>
          <w:rFonts w:ascii="Times New Roman" w:hAnsi="Times New Roman" w:cs="Times New Roman"/>
          <w:sz w:val="24"/>
          <w:szCs w:val="24"/>
          <w:lang w:val="en-US"/>
        </w:rPr>
        <w:t xml:space="preserve"> criteria of which t</w:t>
      </w:r>
      <w:r w:rsidR="00536635" w:rsidRPr="00311269">
        <w:rPr>
          <w:rFonts w:ascii="Times New Roman" w:hAnsi="Times New Roman" w:cs="Times New Roman"/>
          <w:sz w:val="24"/>
          <w:szCs w:val="24"/>
          <w:lang w:val="en-US"/>
        </w:rPr>
        <w:t xml:space="preserve">he domestic </w:t>
      </w:r>
      <w:r w:rsidR="00180715" w:rsidRPr="00311269">
        <w:rPr>
          <w:rFonts w:ascii="Times New Roman" w:hAnsi="Times New Roman" w:cs="Times New Roman"/>
          <w:sz w:val="24"/>
          <w:szCs w:val="24"/>
          <w:lang w:val="en-US"/>
        </w:rPr>
        <w:t>legal</w:t>
      </w:r>
      <w:r w:rsidR="00536635" w:rsidRPr="00311269">
        <w:rPr>
          <w:rFonts w:ascii="Times New Roman" w:hAnsi="Times New Roman" w:cs="Times New Roman"/>
          <w:sz w:val="24"/>
          <w:szCs w:val="24"/>
          <w:lang w:val="en-US"/>
        </w:rPr>
        <w:t xml:space="preserve"> class</w:t>
      </w:r>
      <w:r w:rsidR="00ED2B1F" w:rsidRPr="00311269">
        <w:rPr>
          <w:rFonts w:ascii="Times New Roman" w:hAnsi="Times New Roman" w:cs="Times New Roman"/>
          <w:sz w:val="24"/>
          <w:szCs w:val="24"/>
          <w:lang w:val="en-US"/>
        </w:rPr>
        <w:t>ification is the starting point</w:t>
      </w:r>
      <w:r w:rsidRPr="00311269">
        <w:rPr>
          <w:rFonts w:ascii="Times New Roman" w:hAnsi="Times New Roman" w:cs="Times New Roman"/>
          <w:sz w:val="24"/>
          <w:szCs w:val="24"/>
          <w:lang w:val="en-US"/>
        </w:rPr>
        <w:t xml:space="preserve">, </w:t>
      </w:r>
      <w:r w:rsidR="00ED2B1F" w:rsidRPr="00311269">
        <w:rPr>
          <w:rFonts w:ascii="Times New Roman" w:hAnsi="Times New Roman" w:cs="Times New Roman"/>
          <w:sz w:val="24"/>
          <w:szCs w:val="24"/>
          <w:lang w:val="en-US"/>
        </w:rPr>
        <w:t>though</w:t>
      </w:r>
      <w:r w:rsidRPr="00311269">
        <w:rPr>
          <w:rFonts w:ascii="Times New Roman" w:hAnsi="Times New Roman" w:cs="Times New Roman"/>
          <w:sz w:val="24"/>
          <w:szCs w:val="24"/>
          <w:lang w:val="en-US"/>
        </w:rPr>
        <w:t xml:space="preserve"> not the most decisive</w:t>
      </w:r>
      <w:r w:rsidR="00ED2B1F" w:rsidRPr="00311269">
        <w:rPr>
          <w:rFonts w:ascii="Times New Roman" w:hAnsi="Times New Roman" w:cs="Times New Roman"/>
          <w:sz w:val="24"/>
          <w:szCs w:val="24"/>
          <w:lang w:val="en-US"/>
        </w:rPr>
        <w:t xml:space="preserve">. More important is the </w:t>
      </w:r>
      <w:r w:rsidR="000D0788" w:rsidRPr="00311269">
        <w:rPr>
          <w:rFonts w:ascii="Times New Roman" w:hAnsi="Times New Roman" w:cs="Times New Roman"/>
          <w:sz w:val="24"/>
          <w:szCs w:val="24"/>
          <w:lang w:val="en-US"/>
        </w:rPr>
        <w:t xml:space="preserve">nature of the </w:t>
      </w:r>
      <w:r w:rsidR="00311269" w:rsidRPr="00311269">
        <w:rPr>
          <w:rFonts w:ascii="Times New Roman" w:hAnsi="Times New Roman" w:cs="Times New Roman"/>
          <w:sz w:val="24"/>
          <w:szCs w:val="24"/>
          <w:lang w:val="en-US"/>
        </w:rPr>
        <w:t>measure</w:t>
      </w:r>
      <w:r w:rsidR="000D0788" w:rsidRPr="00311269">
        <w:rPr>
          <w:rFonts w:ascii="Times New Roman" w:hAnsi="Times New Roman" w:cs="Times New Roman"/>
          <w:sz w:val="24"/>
          <w:szCs w:val="24"/>
          <w:lang w:val="en-US"/>
        </w:rPr>
        <w:t>, in particular whether or not the measure has a punitive purpose.</w:t>
      </w:r>
      <w:r w:rsidRPr="00311269">
        <w:rPr>
          <w:rStyle w:val="Odwoanieprzypisudolnego"/>
          <w:rFonts w:ascii="Times New Roman" w:hAnsi="Times New Roman" w:cs="Times New Roman"/>
          <w:sz w:val="24"/>
          <w:szCs w:val="24"/>
          <w:lang w:val="en-US"/>
        </w:rPr>
        <w:footnoteReference w:id="35"/>
      </w:r>
      <w:r w:rsidRPr="00311269">
        <w:rPr>
          <w:rFonts w:ascii="Times New Roman" w:hAnsi="Times New Roman" w:cs="Times New Roman"/>
          <w:sz w:val="24"/>
          <w:szCs w:val="24"/>
          <w:lang w:val="en-US"/>
        </w:rPr>
        <w:t xml:space="preserve"> </w:t>
      </w:r>
      <w:r w:rsidR="00ED2B1F" w:rsidRPr="00311269">
        <w:rPr>
          <w:rFonts w:ascii="Times New Roman" w:hAnsi="Times New Roman" w:cs="Times New Roman"/>
          <w:sz w:val="24"/>
          <w:szCs w:val="24"/>
          <w:lang w:val="en-US"/>
        </w:rPr>
        <w:t xml:space="preserve"> For instance, </w:t>
      </w:r>
      <w:r w:rsidR="00734368" w:rsidRPr="00311269">
        <w:rPr>
          <w:rFonts w:ascii="Times New Roman" w:hAnsi="Times New Roman" w:cs="Times New Roman"/>
          <w:sz w:val="24"/>
          <w:szCs w:val="24"/>
          <w:lang w:val="en-US"/>
        </w:rPr>
        <w:t>the</w:t>
      </w:r>
      <w:r w:rsidR="003A07E4" w:rsidRPr="00311269">
        <w:rPr>
          <w:rFonts w:ascii="Times New Roman" w:hAnsi="Times New Roman" w:cs="Times New Roman"/>
          <w:sz w:val="24"/>
          <w:szCs w:val="24"/>
          <w:lang w:val="en-US"/>
        </w:rPr>
        <w:t xml:space="preserve"> area-based restrictions</w:t>
      </w:r>
      <w:r w:rsidR="00734368">
        <w:rPr>
          <w:rFonts w:ascii="Times New Roman" w:hAnsi="Times New Roman" w:cs="Times New Roman"/>
          <w:sz w:val="24"/>
          <w:szCs w:val="24"/>
          <w:lang w:val="en-US"/>
        </w:rPr>
        <w:t xml:space="preserve"> </w:t>
      </w:r>
      <w:r w:rsidR="000D0788">
        <w:rPr>
          <w:rFonts w:ascii="Times New Roman" w:hAnsi="Times New Roman" w:cs="Times New Roman"/>
          <w:sz w:val="24"/>
          <w:szCs w:val="24"/>
          <w:lang w:val="en-US"/>
        </w:rPr>
        <w:lastRenderedPageBreak/>
        <w:t xml:space="preserve">contested </w:t>
      </w:r>
      <w:r w:rsidR="00ED2B1F" w:rsidRPr="009F6C66">
        <w:rPr>
          <w:rFonts w:ascii="Times New Roman" w:hAnsi="Times New Roman" w:cs="Times New Roman"/>
          <w:sz w:val="24"/>
          <w:szCs w:val="24"/>
          <w:lang w:val="en-US"/>
        </w:rPr>
        <w:t xml:space="preserve">in </w:t>
      </w:r>
      <w:r w:rsidR="00E86D50" w:rsidRPr="00E86D50">
        <w:rPr>
          <w:rFonts w:ascii="Times New Roman" w:hAnsi="Times New Roman" w:cs="Times New Roman"/>
          <w:i/>
          <w:sz w:val="24"/>
          <w:szCs w:val="24"/>
          <w:lang w:val="en-US"/>
        </w:rPr>
        <w:t>Landvreugd</w:t>
      </w:r>
      <w:r w:rsidR="00E86D50">
        <w:rPr>
          <w:rFonts w:ascii="Times New Roman" w:hAnsi="Times New Roman" w:cs="Times New Roman"/>
          <w:sz w:val="24"/>
          <w:szCs w:val="24"/>
          <w:lang w:val="en-US"/>
        </w:rPr>
        <w:t xml:space="preserve"> and </w:t>
      </w:r>
      <w:r w:rsidR="00E86D50" w:rsidRPr="00E86D50">
        <w:rPr>
          <w:rFonts w:ascii="Times New Roman" w:hAnsi="Times New Roman" w:cs="Times New Roman"/>
          <w:i/>
          <w:sz w:val="24"/>
          <w:szCs w:val="24"/>
          <w:lang w:val="en-US"/>
        </w:rPr>
        <w:t>Olivieira</w:t>
      </w:r>
      <w:r w:rsidR="00E86D50" w:rsidRPr="009F6C66">
        <w:rPr>
          <w:rStyle w:val="Odwoanieprzypisudolnego"/>
          <w:rFonts w:ascii="Times New Roman" w:hAnsi="Times New Roman" w:cs="Times New Roman"/>
          <w:sz w:val="24"/>
          <w:szCs w:val="24"/>
          <w:lang w:val="en-US"/>
        </w:rPr>
        <w:footnoteReference w:id="36"/>
      </w:r>
      <w:r w:rsidR="00734368">
        <w:rPr>
          <w:rFonts w:ascii="Times New Roman" w:hAnsi="Times New Roman" w:cs="Times New Roman"/>
          <w:sz w:val="24"/>
          <w:szCs w:val="24"/>
          <w:lang w:val="en-US"/>
        </w:rPr>
        <w:t>, bo</w:t>
      </w:r>
      <w:r w:rsidR="00E86D50">
        <w:rPr>
          <w:rFonts w:ascii="Times New Roman" w:hAnsi="Times New Roman" w:cs="Times New Roman"/>
          <w:sz w:val="24"/>
          <w:szCs w:val="24"/>
          <w:lang w:val="en-US"/>
        </w:rPr>
        <w:t xml:space="preserve">th </w:t>
      </w:r>
      <w:r w:rsidR="00734368">
        <w:rPr>
          <w:rFonts w:ascii="Times New Roman" w:hAnsi="Times New Roman" w:cs="Times New Roman"/>
          <w:sz w:val="24"/>
          <w:szCs w:val="24"/>
          <w:lang w:val="en-US"/>
        </w:rPr>
        <w:t xml:space="preserve">imposed to </w:t>
      </w:r>
      <w:r w:rsidR="00734368" w:rsidRPr="009F6C66">
        <w:rPr>
          <w:rFonts w:ascii="Times New Roman" w:hAnsi="Times New Roman" w:cs="Times New Roman"/>
          <w:sz w:val="24"/>
          <w:szCs w:val="24"/>
          <w:lang w:val="en-US"/>
        </w:rPr>
        <w:t xml:space="preserve">tackle the </w:t>
      </w:r>
      <w:r w:rsidR="00734368" w:rsidRPr="009F6C66">
        <w:rPr>
          <w:rFonts w:ascii="Times New Roman" w:hAnsi="Times New Roman" w:cs="Times New Roman"/>
          <w:color w:val="000000"/>
          <w:sz w:val="24"/>
          <w:szCs w:val="24"/>
          <w:shd w:val="clear" w:color="auto" w:fill="FFFFFF"/>
          <w:lang w:val="en-CA"/>
        </w:rPr>
        <w:t xml:space="preserve">traffic in and the use </w:t>
      </w:r>
      <w:r w:rsidR="00734368">
        <w:rPr>
          <w:rFonts w:ascii="Times New Roman" w:hAnsi="Times New Roman" w:cs="Times New Roman"/>
          <w:color w:val="000000"/>
          <w:sz w:val="24"/>
          <w:szCs w:val="24"/>
          <w:shd w:val="clear" w:color="auto" w:fill="FFFFFF"/>
          <w:lang w:val="en-CA"/>
        </w:rPr>
        <w:t xml:space="preserve">of hard drugs in a public place, were </w:t>
      </w:r>
      <w:r w:rsidR="00734368">
        <w:rPr>
          <w:rFonts w:ascii="Times New Roman" w:hAnsi="Times New Roman" w:cs="Times New Roman"/>
          <w:sz w:val="24"/>
          <w:szCs w:val="24"/>
          <w:lang w:val="en-US"/>
        </w:rPr>
        <w:t xml:space="preserve">treated as </w:t>
      </w:r>
      <w:r w:rsidR="000D0788">
        <w:rPr>
          <w:rFonts w:ascii="Times New Roman" w:hAnsi="Times New Roman" w:cs="Times New Roman"/>
          <w:sz w:val="24"/>
          <w:szCs w:val="24"/>
          <w:lang w:val="en-US"/>
        </w:rPr>
        <w:t xml:space="preserve">preventive and thus </w:t>
      </w:r>
      <w:r w:rsidR="00734368">
        <w:rPr>
          <w:rFonts w:ascii="Times New Roman" w:hAnsi="Times New Roman" w:cs="Times New Roman"/>
          <w:sz w:val="24"/>
          <w:szCs w:val="24"/>
          <w:lang w:val="en-US"/>
        </w:rPr>
        <w:t>non-criminal</w:t>
      </w:r>
      <w:r w:rsidR="000D0788">
        <w:rPr>
          <w:rFonts w:ascii="Times New Roman" w:hAnsi="Times New Roman" w:cs="Times New Roman"/>
          <w:sz w:val="24"/>
          <w:szCs w:val="24"/>
          <w:lang w:val="en-US"/>
        </w:rPr>
        <w:t xml:space="preserve"> measures</w:t>
      </w:r>
      <w:r w:rsidR="00734368">
        <w:rPr>
          <w:rFonts w:ascii="Times New Roman" w:hAnsi="Times New Roman" w:cs="Times New Roman"/>
          <w:sz w:val="24"/>
          <w:szCs w:val="24"/>
          <w:lang w:val="en-US"/>
        </w:rPr>
        <w:t>, because they were</w:t>
      </w:r>
      <w:r w:rsidR="00ED2B1F" w:rsidRPr="009F6C66">
        <w:rPr>
          <w:rFonts w:ascii="Times New Roman" w:hAnsi="Times New Roman" w:cs="Times New Roman"/>
          <w:sz w:val="24"/>
          <w:szCs w:val="24"/>
          <w:lang w:val="en-US"/>
        </w:rPr>
        <w:t xml:space="preserve"> imposed </w:t>
      </w:r>
      <w:r w:rsidR="006B31CF">
        <w:rPr>
          <w:rFonts w:ascii="Times New Roman" w:hAnsi="Times New Roman" w:cs="Times New Roman"/>
          <w:sz w:val="24"/>
          <w:szCs w:val="24"/>
          <w:lang w:val="en-US"/>
        </w:rPr>
        <w:t>for ‘the maintenance of public order and the prevention of crime’</w:t>
      </w:r>
      <w:r w:rsidR="00545F76" w:rsidRPr="009F6C66">
        <w:rPr>
          <w:rStyle w:val="Odwoanieprzypisudolnego"/>
          <w:rFonts w:ascii="Times New Roman" w:hAnsi="Times New Roman" w:cs="Times New Roman"/>
          <w:color w:val="000000"/>
          <w:sz w:val="24"/>
          <w:szCs w:val="24"/>
          <w:lang w:val="en-US"/>
        </w:rPr>
        <w:footnoteReference w:id="37"/>
      </w:r>
      <w:r w:rsidR="00545F76" w:rsidRPr="009F6C66">
        <w:rPr>
          <w:rFonts w:ascii="Times New Roman" w:hAnsi="Times New Roman" w:cs="Times New Roman"/>
          <w:color w:val="000000"/>
          <w:sz w:val="24"/>
          <w:szCs w:val="24"/>
          <w:lang w:val="en-US"/>
        </w:rPr>
        <w:t>.</w:t>
      </w:r>
      <w:r w:rsidR="009F6C66">
        <w:rPr>
          <w:rFonts w:ascii="Times New Roman" w:hAnsi="Times New Roman" w:cs="Times New Roman"/>
          <w:color w:val="000000"/>
          <w:sz w:val="24"/>
          <w:szCs w:val="24"/>
          <w:lang w:val="en-US"/>
        </w:rPr>
        <w:t xml:space="preserve"> </w:t>
      </w:r>
      <w:r w:rsidR="00536635" w:rsidRPr="0020209F">
        <w:rPr>
          <w:rFonts w:ascii="Times New Roman" w:hAnsi="Times New Roman" w:cs="Times New Roman"/>
          <w:sz w:val="24"/>
          <w:szCs w:val="24"/>
          <w:lang w:val="en-CA"/>
        </w:rPr>
        <w:t xml:space="preserve">This distinction </w:t>
      </w:r>
      <w:r w:rsidR="009F6C66">
        <w:rPr>
          <w:rFonts w:ascii="Times New Roman" w:hAnsi="Times New Roman" w:cs="Times New Roman"/>
          <w:sz w:val="24"/>
          <w:szCs w:val="24"/>
          <w:lang w:val="en-CA"/>
        </w:rPr>
        <w:t xml:space="preserve">is important. </w:t>
      </w:r>
      <w:r w:rsidR="00094335">
        <w:rPr>
          <w:rFonts w:ascii="Times New Roman" w:hAnsi="Times New Roman" w:cs="Times New Roman"/>
          <w:sz w:val="24"/>
          <w:szCs w:val="24"/>
          <w:lang w:val="en-CA"/>
        </w:rPr>
        <w:t>Only if the</w:t>
      </w:r>
      <w:r w:rsidR="009F6C66">
        <w:rPr>
          <w:rFonts w:ascii="Times New Roman" w:hAnsi="Times New Roman" w:cs="Times New Roman"/>
          <w:sz w:val="24"/>
          <w:szCs w:val="24"/>
          <w:lang w:val="en-CA"/>
        </w:rPr>
        <w:t xml:space="preserve"> measure imposed is to be </w:t>
      </w:r>
      <w:r w:rsidR="00094335">
        <w:rPr>
          <w:rFonts w:ascii="Times New Roman" w:hAnsi="Times New Roman" w:cs="Times New Roman"/>
          <w:sz w:val="24"/>
          <w:szCs w:val="24"/>
          <w:lang w:val="en-CA"/>
        </w:rPr>
        <w:t xml:space="preserve">regarded as criminal within the meaning of </w:t>
      </w:r>
      <w:r w:rsidR="00571696">
        <w:rPr>
          <w:rFonts w:ascii="Times New Roman" w:hAnsi="Times New Roman" w:cs="Times New Roman"/>
          <w:sz w:val="24"/>
          <w:szCs w:val="24"/>
          <w:lang w:val="en-CA"/>
        </w:rPr>
        <w:t>Article</w:t>
      </w:r>
      <w:r w:rsidR="00094335">
        <w:rPr>
          <w:rFonts w:ascii="Times New Roman" w:hAnsi="Times New Roman" w:cs="Times New Roman"/>
          <w:sz w:val="24"/>
          <w:szCs w:val="24"/>
          <w:lang w:val="en-CA"/>
        </w:rPr>
        <w:t xml:space="preserve"> 6</w:t>
      </w:r>
      <w:r w:rsidR="009F6C66">
        <w:rPr>
          <w:rFonts w:ascii="Times New Roman" w:hAnsi="Times New Roman" w:cs="Times New Roman"/>
          <w:sz w:val="24"/>
          <w:szCs w:val="24"/>
          <w:lang w:val="en-CA"/>
        </w:rPr>
        <w:t xml:space="preserve">, </w:t>
      </w:r>
      <w:r w:rsidR="00094335">
        <w:rPr>
          <w:rFonts w:ascii="Times New Roman" w:hAnsi="Times New Roman" w:cs="Times New Roman"/>
          <w:sz w:val="24"/>
          <w:szCs w:val="24"/>
          <w:lang w:val="en-CA"/>
        </w:rPr>
        <w:t>the individual is entitled to th</w:t>
      </w:r>
      <w:r w:rsidR="00536635" w:rsidRPr="0020209F">
        <w:rPr>
          <w:rFonts w:ascii="Times New Roman" w:hAnsi="Times New Roman" w:cs="Times New Roman"/>
          <w:sz w:val="24"/>
          <w:szCs w:val="24"/>
          <w:lang w:val="en-CA"/>
        </w:rPr>
        <w:t xml:space="preserve">e procedural </w:t>
      </w:r>
      <w:r w:rsidR="009F6C66">
        <w:rPr>
          <w:rFonts w:ascii="Times New Roman" w:hAnsi="Times New Roman" w:cs="Times New Roman"/>
          <w:sz w:val="24"/>
          <w:szCs w:val="24"/>
          <w:lang w:val="en-CA"/>
        </w:rPr>
        <w:t xml:space="preserve">protections guaranteed in </w:t>
      </w:r>
      <w:r w:rsidR="002B4894">
        <w:rPr>
          <w:rFonts w:ascii="Times New Roman" w:hAnsi="Times New Roman" w:cs="Times New Roman"/>
          <w:sz w:val="24"/>
          <w:szCs w:val="24"/>
          <w:lang w:val="en-CA"/>
        </w:rPr>
        <w:t xml:space="preserve">that </w:t>
      </w:r>
      <w:r w:rsidR="00571696">
        <w:rPr>
          <w:rFonts w:ascii="Times New Roman" w:hAnsi="Times New Roman" w:cs="Times New Roman"/>
          <w:sz w:val="24"/>
          <w:szCs w:val="24"/>
          <w:lang w:val="en-CA"/>
        </w:rPr>
        <w:t>Article</w:t>
      </w:r>
      <w:r w:rsidR="00094335">
        <w:rPr>
          <w:rFonts w:ascii="Times New Roman" w:hAnsi="Times New Roman" w:cs="Times New Roman"/>
          <w:sz w:val="24"/>
          <w:szCs w:val="24"/>
          <w:lang w:val="en-CA"/>
        </w:rPr>
        <w:t xml:space="preserve">, such as the </w:t>
      </w:r>
      <w:r w:rsidR="00094335">
        <w:rPr>
          <w:rFonts w:ascii="Times New Roman" w:hAnsi="Times New Roman" w:cs="Times New Roman"/>
          <w:sz w:val="24"/>
          <w:szCs w:val="24"/>
          <w:lang w:val="en-US"/>
        </w:rPr>
        <w:t xml:space="preserve">right to a </w:t>
      </w:r>
      <w:r w:rsidR="00734368">
        <w:rPr>
          <w:rFonts w:ascii="Times New Roman" w:hAnsi="Times New Roman" w:cs="Times New Roman"/>
          <w:sz w:val="24"/>
          <w:szCs w:val="24"/>
          <w:lang w:val="en-US"/>
        </w:rPr>
        <w:t>court with full jurisdiction</w:t>
      </w:r>
      <w:r w:rsidR="00094335">
        <w:rPr>
          <w:rFonts w:ascii="Times New Roman" w:hAnsi="Times New Roman" w:cs="Times New Roman"/>
          <w:sz w:val="24"/>
          <w:szCs w:val="24"/>
          <w:lang w:val="en-CA"/>
        </w:rPr>
        <w:t>.</w:t>
      </w:r>
      <w:r w:rsidR="00954E91">
        <w:rPr>
          <w:rFonts w:ascii="Times New Roman" w:hAnsi="Times New Roman" w:cs="Times New Roman"/>
          <w:sz w:val="24"/>
          <w:szCs w:val="24"/>
          <w:lang w:val="en-CA"/>
        </w:rPr>
        <w:t xml:space="preserve"> </w:t>
      </w:r>
    </w:p>
    <w:p w14:paraId="4631FE19" w14:textId="40561187" w:rsidR="00094335" w:rsidRPr="00397331" w:rsidRDefault="000D0788" w:rsidP="00A07C56">
      <w:pPr>
        <w:jc w:val="both"/>
        <w:rPr>
          <w:rFonts w:ascii="Times New Roman" w:hAnsi="Times New Roman" w:cs="Times New Roman"/>
          <w:sz w:val="24"/>
          <w:szCs w:val="24"/>
          <w:lang w:val="en-US"/>
        </w:rPr>
      </w:pPr>
      <w:r>
        <w:rPr>
          <w:rFonts w:ascii="Times New Roman" w:hAnsi="Times New Roman" w:cs="Times New Roman"/>
          <w:sz w:val="24"/>
          <w:szCs w:val="24"/>
          <w:lang w:val="en-CA"/>
        </w:rPr>
        <w:t xml:space="preserve">It is important to note that the above distinction is </w:t>
      </w:r>
      <w:r w:rsidR="002B4894">
        <w:rPr>
          <w:rFonts w:ascii="Times New Roman" w:hAnsi="Times New Roman" w:cs="Times New Roman"/>
          <w:sz w:val="24"/>
          <w:szCs w:val="24"/>
          <w:lang w:val="en-CA"/>
        </w:rPr>
        <w:t xml:space="preserve">not the only </w:t>
      </w:r>
      <w:r>
        <w:rPr>
          <w:rFonts w:ascii="Times New Roman" w:hAnsi="Times New Roman" w:cs="Times New Roman"/>
          <w:sz w:val="24"/>
          <w:szCs w:val="24"/>
          <w:lang w:val="en-CA"/>
        </w:rPr>
        <w:t>one</w:t>
      </w:r>
      <w:r w:rsidR="002B4894">
        <w:rPr>
          <w:rFonts w:ascii="Times New Roman" w:hAnsi="Times New Roman" w:cs="Times New Roman"/>
          <w:sz w:val="24"/>
          <w:szCs w:val="24"/>
          <w:lang w:val="en-CA"/>
        </w:rPr>
        <w:t xml:space="preserve"> made in the Strasbourg Court’s </w:t>
      </w:r>
      <w:r w:rsidR="00E85E11">
        <w:rPr>
          <w:rFonts w:ascii="Times New Roman" w:hAnsi="Times New Roman" w:cs="Times New Roman"/>
          <w:sz w:val="24"/>
          <w:szCs w:val="24"/>
          <w:lang w:val="en-CA"/>
        </w:rPr>
        <w:t xml:space="preserve">case </w:t>
      </w:r>
      <w:r w:rsidR="002B4894">
        <w:rPr>
          <w:rFonts w:ascii="Times New Roman" w:hAnsi="Times New Roman" w:cs="Times New Roman"/>
          <w:sz w:val="24"/>
          <w:szCs w:val="24"/>
          <w:lang w:val="en-CA"/>
        </w:rPr>
        <w:t xml:space="preserve">law. </w:t>
      </w:r>
      <w:hyperlink r:id="rId9" w:tgtFrame="_blank" w:tooltip="This link will open in a new window or tab" w:history="1">
        <w:r w:rsidR="002B4894" w:rsidRPr="00A07C56">
          <w:rPr>
            <w:rFonts w:ascii="Times New Roman" w:hAnsi="Times New Roman" w:cs="Times New Roman"/>
            <w:sz w:val="24"/>
            <w:szCs w:val="24"/>
            <w:lang w:val="en-US"/>
          </w:rPr>
          <w:t xml:space="preserve">After all, </w:t>
        </w:r>
        <w:r w:rsidR="002B4894">
          <w:rPr>
            <w:rFonts w:ascii="Times New Roman" w:hAnsi="Times New Roman" w:cs="Times New Roman"/>
            <w:sz w:val="24"/>
            <w:szCs w:val="24"/>
            <w:lang w:val="en-US"/>
          </w:rPr>
          <w:t>Article</w:t>
        </w:r>
      </w:hyperlink>
      <w:r w:rsidR="002B489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6 ECHR </w:t>
      </w:r>
      <w:r w:rsidR="002B4894">
        <w:rPr>
          <w:rFonts w:ascii="Times New Roman" w:hAnsi="Times New Roman" w:cs="Times New Roman"/>
          <w:sz w:val="24"/>
          <w:szCs w:val="24"/>
          <w:lang w:val="en-US"/>
        </w:rPr>
        <w:t>is not only applicable</w:t>
      </w:r>
      <w:r w:rsidR="002B4894" w:rsidRPr="00094335">
        <w:rPr>
          <w:rFonts w:ascii="Times New Roman" w:hAnsi="Times New Roman" w:cs="Times New Roman"/>
          <w:sz w:val="24"/>
          <w:szCs w:val="24"/>
          <w:lang w:val="en-CA"/>
        </w:rPr>
        <w:t xml:space="preserve"> to</w:t>
      </w:r>
      <w:r w:rsidR="002B4894">
        <w:rPr>
          <w:rFonts w:ascii="Times New Roman" w:hAnsi="Times New Roman" w:cs="Times New Roman"/>
          <w:sz w:val="24"/>
          <w:szCs w:val="24"/>
          <w:lang w:val="en-CA"/>
        </w:rPr>
        <w:t xml:space="preserve"> criminal matters, but also to measures involving the determination </w:t>
      </w:r>
      <w:r w:rsidR="002B4894" w:rsidRPr="00954E91">
        <w:rPr>
          <w:rFonts w:ascii="Times New Roman" w:hAnsi="Times New Roman" w:cs="Times New Roman"/>
          <w:sz w:val="24"/>
          <w:szCs w:val="24"/>
          <w:lang w:val="en-CA"/>
        </w:rPr>
        <w:t xml:space="preserve">of </w:t>
      </w:r>
      <w:r w:rsidR="002B4894">
        <w:rPr>
          <w:rFonts w:ascii="Times New Roman" w:hAnsi="Times New Roman" w:cs="Times New Roman"/>
          <w:sz w:val="24"/>
          <w:szCs w:val="24"/>
          <w:lang w:val="en-CA"/>
        </w:rPr>
        <w:t xml:space="preserve">a </w:t>
      </w:r>
      <w:r w:rsidR="002B4894" w:rsidRPr="00954E91">
        <w:rPr>
          <w:rFonts w:ascii="Times New Roman" w:hAnsi="Times New Roman" w:cs="Times New Roman"/>
          <w:sz w:val="24"/>
          <w:szCs w:val="24"/>
          <w:lang w:val="en-CA"/>
        </w:rPr>
        <w:t xml:space="preserve">civil right or obligation, though certain procedural safeguards specified </w:t>
      </w:r>
      <w:r w:rsidR="002B4894">
        <w:rPr>
          <w:rFonts w:ascii="Times New Roman" w:hAnsi="Times New Roman" w:cs="Times New Roman"/>
          <w:sz w:val="24"/>
          <w:szCs w:val="24"/>
          <w:lang w:val="en-CA"/>
        </w:rPr>
        <w:t>are</w:t>
      </w:r>
      <w:r w:rsidR="002B4894" w:rsidRPr="00954E91">
        <w:rPr>
          <w:rFonts w:ascii="Times New Roman" w:hAnsi="Times New Roman" w:cs="Times New Roman"/>
          <w:sz w:val="24"/>
          <w:szCs w:val="24"/>
          <w:lang w:val="en-CA"/>
        </w:rPr>
        <w:t xml:space="preserve"> only </w:t>
      </w:r>
      <w:r w:rsidR="002B4894">
        <w:rPr>
          <w:rFonts w:ascii="Times New Roman" w:hAnsi="Times New Roman" w:cs="Times New Roman"/>
          <w:sz w:val="24"/>
          <w:szCs w:val="24"/>
          <w:lang w:val="en-CA"/>
        </w:rPr>
        <w:t xml:space="preserve">applicable </w:t>
      </w:r>
      <w:r w:rsidR="002B4894" w:rsidRPr="00954E91">
        <w:rPr>
          <w:rFonts w:ascii="Times New Roman" w:hAnsi="Times New Roman" w:cs="Times New Roman"/>
          <w:sz w:val="24"/>
          <w:szCs w:val="24"/>
          <w:lang w:val="en-CA"/>
        </w:rPr>
        <w:t xml:space="preserve">to criminal </w:t>
      </w:r>
      <w:r w:rsidR="002B4894">
        <w:rPr>
          <w:rFonts w:ascii="Times New Roman" w:hAnsi="Times New Roman" w:cs="Times New Roman"/>
          <w:sz w:val="24"/>
          <w:szCs w:val="24"/>
          <w:lang w:val="en-CA"/>
        </w:rPr>
        <w:t>matters</w:t>
      </w:r>
      <w:r w:rsidR="002B4894" w:rsidRPr="00954E91">
        <w:rPr>
          <w:rFonts w:ascii="Times New Roman" w:hAnsi="Times New Roman" w:cs="Times New Roman"/>
          <w:sz w:val="24"/>
          <w:szCs w:val="24"/>
          <w:lang w:val="en-CA"/>
        </w:rPr>
        <w:t>.</w:t>
      </w:r>
      <w:r w:rsidR="002B4894">
        <w:rPr>
          <w:rFonts w:ascii="Times New Roman" w:hAnsi="Times New Roman" w:cs="Times New Roman"/>
          <w:sz w:val="24"/>
          <w:szCs w:val="24"/>
          <w:lang w:val="en-CA"/>
        </w:rPr>
        <w:t xml:space="preserve"> </w:t>
      </w:r>
      <w:r w:rsidR="008469F9" w:rsidRPr="00954E91">
        <w:rPr>
          <w:rFonts w:ascii="Times New Roman" w:hAnsi="Times New Roman" w:cs="Times New Roman"/>
          <w:sz w:val="24"/>
          <w:szCs w:val="24"/>
          <w:lang w:val="en-CA"/>
        </w:rPr>
        <w:t xml:space="preserve">Whether or not the measure imposed </w:t>
      </w:r>
      <w:r>
        <w:rPr>
          <w:rFonts w:ascii="Times New Roman" w:hAnsi="Times New Roman" w:cs="Times New Roman"/>
          <w:sz w:val="24"/>
          <w:szCs w:val="24"/>
          <w:lang w:val="en-CA"/>
        </w:rPr>
        <w:t xml:space="preserve">involves the determination </w:t>
      </w:r>
      <w:r w:rsidRPr="00954E91">
        <w:rPr>
          <w:rFonts w:ascii="Times New Roman" w:hAnsi="Times New Roman" w:cs="Times New Roman"/>
          <w:sz w:val="24"/>
          <w:szCs w:val="24"/>
          <w:lang w:val="en-CA"/>
        </w:rPr>
        <w:t xml:space="preserve">of </w:t>
      </w:r>
      <w:r>
        <w:rPr>
          <w:rFonts w:ascii="Times New Roman" w:hAnsi="Times New Roman" w:cs="Times New Roman"/>
          <w:sz w:val="24"/>
          <w:szCs w:val="24"/>
          <w:lang w:val="en-CA"/>
        </w:rPr>
        <w:t xml:space="preserve">a </w:t>
      </w:r>
      <w:r w:rsidRPr="00954E91">
        <w:rPr>
          <w:rFonts w:ascii="Times New Roman" w:hAnsi="Times New Roman" w:cs="Times New Roman"/>
          <w:sz w:val="24"/>
          <w:szCs w:val="24"/>
          <w:lang w:val="en-CA"/>
        </w:rPr>
        <w:t>civil right or obligation</w:t>
      </w:r>
      <w:r w:rsidR="00734368">
        <w:rPr>
          <w:rFonts w:ascii="Times New Roman" w:hAnsi="Times New Roman" w:cs="Times New Roman"/>
          <w:sz w:val="24"/>
          <w:szCs w:val="24"/>
          <w:lang w:val="en-CA"/>
        </w:rPr>
        <w:t>,</w:t>
      </w:r>
      <w:r w:rsidR="00954E91" w:rsidRPr="00954E91">
        <w:rPr>
          <w:rFonts w:ascii="Times New Roman" w:hAnsi="Times New Roman" w:cs="Times New Roman"/>
          <w:sz w:val="24"/>
          <w:szCs w:val="24"/>
          <w:lang w:val="en-CA"/>
        </w:rPr>
        <w:t xml:space="preserve"> </w:t>
      </w:r>
      <w:r w:rsidR="008469F9" w:rsidRPr="00954E91">
        <w:rPr>
          <w:rFonts w:ascii="Times New Roman" w:hAnsi="Times New Roman" w:cs="Times New Roman"/>
          <w:sz w:val="24"/>
          <w:szCs w:val="24"/>
          <w:lang w:val="en-CA"/>
        </w:rPr>
        <w:t xml:space="preserve">is </w:t>
      </w:r>
      <w:r w:rsidR="00180715" w:rsidRPr="00954E91">
        <w:rPr>
          <w:rFonts w:ascii="Times New Roman" w:hAnsi="Times New Roman" w:cs="Times New Roman"/>
          <w:sz w:val="24"/>
          <w:szCs w:val="24"/>
          <w:lang w:val="en-CA"/>
        </w:rPr>
        <w:t xml:space="preserve">also </w:t>
      </w:r>
      <w:r w:rsidR="008469F9" w:rsidRPr="00954E91">
        <w:rPr>
          <w:rFonts w:ascii="Times New Roman" w:hAnsi="Times New Roman" w:cs="Times New Roman"/>
          <w:sz w:val="24"/>
          <w:szCs w:val="24"/>
          <w:lang w:val="en-CA"/>
        </w:rPr>
        <w:t xml:space="preserve">interpreted </w:t>
      </w:r>
      <w:r w:rsidR="00180715" w:rsidRPr="00954E91">
        <w:rPr>
          <w:rFonts w:ascii="Times New Roman" w:hAnsi="Times New Roman" w:cs="Times New Roman"/>
          <w:sz w:val="24"/>
          <w:szCs w:val="24"/>
          <w:lang w:val="en-CA"/>
        </w:rPr>
        <w:t xml:space="preserve">autonomously </w:t>
      </w:r>
      <w:r w:rsidR="008469F9" w:rsidRPr="00954E91">
        <w:rPr>
          <w:rFonts w:ascii="Times New Roman" w:hAnsi="Times New Roman" w:cs="Times New Roman"/>
          <w:sz w:val="24"/>
          <w:szCs w:val="24"/>
          <w:lang w:val="en-CA"/>
        </w:rPr>
        <w:t>by the Strasbourg Court</w:t>
      </w:r>
      <w:r w:rsidR="00180715" w:rsidRPr="00954E91">
        <w:rPr>
          <w:rFonts w:ascii="Times New Roman" w:hAnsi="Times New Roman" w:cs="Times New Roman"/>
          <w:sz w:val="24"/>
          <w:szCs w:val="24"/>
          <w:lang w:val="en-CA"/>
        </w:rPr>
        <w:t>, based on a number of criteria</w:t>
      </w:r>
      <w:r w:rsidR="00A07C56">
        <w:rPr>
          <w:rFonts w:ascii="Times New Roman" w:hAnsi="Times New Roman" w:cs="Times New Roman"/>
          <w:sz w:val="24"/>
          <w:szCs w:val="24"/>
          <w:lang w:val="en-CA"/>
        </w:rPr>
        <w:t xml:space="preserve">. Again, the </w:t>
      </w:r>
      <w:r w:rsidR="008469F9" w:rsidRPr="00954E91">
        <w:rPr>
          <w:rFonts w:ascii="Times New Roman" w:hAnsi="Times New Roman" w:cs="Times New Roman"/>
          <w:sz w:val="24"/>
          <w:szCs w:val="24"/>
          <w:lang w:val="en-CA"/>
        </w:rPr>
        <w:t xml:space="preserve">domestic </w:t>
      </w:r>
      <w:r w:rsidR="00180715" w:rsidRPr="00954E91">
        <w:rPr>
          <w:rFonts w:ascii="Times New Roman" w:hAnsi="Times New Roman" w:cs="Times New Roman"/>
          <w:sz w:val="24"/>
          <w:szCs w:val="24"/>
          <w:lang w:val="en-CA"/>
        </w:rPr>
        <w:t xml:space="preserve">legal </w:t>
      </w:r>
      <w:r w:rsidR="008469F9" w:rsidRPr="00954E91">
        <w:rPr>
          <w:rFonts w:ascii="Times New Roman" w:hAnsi="Times New Roman" w:cs="Times New Roman"/>
          <w:sz w:val="24"/>
          <w:szCs w:val="24"/>
          <w:lang w:val="en-CA"/>
        </w:rPr>
        <w:t xml:space="preserve">classification </w:t>
      </w:r>
      <w:r>
        <w:rPr>
          <w:rFonts w:ascii="Times New Roman" w:hAnsi="Times New Roman" w:cs="Times New Roman"/>
          <w:sz w:val="24"/>
          <w:szCs w:val="24"/>
          <w:lang w:val="en-CA"/>
        </w:rPr>
        <w:t xml:space="preserve">of the right concerned </w:t>
      </w:r>
      <w:r w:rsidR="002B4894">
        <w:rPr>
          <w:rFonts w:ascii="Times New Roman" w:hAnsi="Times New Roman" w:cs="Times New Roman"/>
          <w:sz w:val="24"/>
          <w:szCs w:val="24"/>
          <w:lang w:val="en-CA"/>
        </w:rPr>
        <w:t>is n</w:t>
      </w:r>
      <w:r w:rsidR="008469F9" w:rsidRPr="00954E91">
        <w:rPr>
          <w:rFonts w:ascii="Times New Roman" w:hAnsi="Times New Roman" w:cs="Times New Roman"/>
          <w:sz w:val="24"/>
          <w:szCs w:val="24"/>
          <w:lang w:val="en-CA"/>
        </w:rPr>
        <w:t>ot</w:t>
      </w:r>
      <w:r w:rsidR="00A07C56">
        <w:rPr>
          <w:rFonts w:ascii="Times New Roman" w:hAnsi="Times New Roman" w:cs="Times New Roman"/>
          <w:sz w:val="24"/>
          <w:szCs w:val="24"/>
          <w:lang w:val="en-CA"/>
        </w:rPr>
        <w:t xml:space="preserve"> </w:t>
      </w:r>
      <w:r w:rsidR="008469F9" w:rsidRPr="00954E91">
        <w:rPr>
          <w:rFonts w:ascii="Times New Roman" w:hAnsi="Times New Roman" w:cs="Times New Roman"/>
          <w:sz w:val="24"/>
          <w:szCs w:val="24"/>
          <w:lang w:val="en-CA"/>
        </w:rPr>
        <w:t>conclusive</w:t>
      </w:r>
      <w:r w:rsidR="00CD03E9">
        <w:rPr>
          <w:rFonts w:ascii="Times New Roman" w:hAnsi="Times New Roman" w:cs="Times New Roman"/>
          <w:sz w:val="24"/>
          <w:szCs w:val="24"/>
          <w:lang w:val="en-CA"/>
        </w:rPr>
        <w:t xml:space="preserve">. According to the Strasbourg Court’s case law, </w:t>
      </w:r>
      <w:r w:rsidR="00180715" w:rsidRPr="00954E91">
        <w:rPr>
          <w:rFonts w:ascii="Times New Roman" w:hAnsi="Times New Roman" w:cs="Times New Roman"/>
          <w:sz w:val="24"/>
          <w:szCs w:val="24"/>
          <w:lang w:val="en-US"/>
        </w:rPr>
        <w:t xml:space="preserve">the content and effects of the right </w:t>
      </w:r>
      <w:r w:rsidR="00A07C56">
        <w:rPr>
          <w:rFonts w:ascii="Times New Roman" w:hAnsi="Times New Roman" w:cs="Times New Roman"/>
          <w:sz w:val="24"/>
          <w:szCs w:val="24"/>
          <w:lang w:val="en-US"/>
        </w:rPr>
        <w:t xml:space="preserve">under </w:t>
      </w:r>
      <w:r w:rsidR="00180715" w:rsidRPr="00954E91">
        <w:rPr>
          <w:rFonts w:ascii="Times New Roman" w:hAnsi="Times New Roman" w:cs="Times New Roman"/>
          <w:sz w:val="24"/>
          <w:szCs w:val="24"/>
          <w:lang w:val="en-US"/>
        </w:rPr>
        <w:t>the domestic law</w:t>
      </w:r>
      <w:r w:rsidR="00A07C56">
        <w:rPr>
          <w:rFonts w:ascii="Times New Roman" w:hAnsi="Times New Roman" w:cs="Times New Roman"/>
          <w:sz w:val="24"/>
          <w:szCs w:val="24"/>
          <w:lang w:val="en-US"/>
        </w:rPr>
        <w:t xml:space="preserve"> </w:t>
      </w:r>
      <w:r w:rsidR="00A07C56" w:rsidRPr="00E11DAC">
        <w:rPr>
          <w:rFonts w:ascii="Times New Roman" w:hAnsi="Times New Roman" w:cs="Times New Roman"/>
          <w:sz w:val="24"/>
          <w:szCs w:val="24"/>
          <w:lang w:val="en-US"/>
        </w:rPr>
        <w:t>will be of particular importance</w:t>
      </w:r>
      <w:r>
        <w:rPr>
          <w:rFonts w:ascii="Times New Roman" w:hAnsi="Times New Roman" w:cs="Times New Roman"/>
          <w:sz w:val="24"/>
          <w:szCs w:val="24"/>
          <w:lang w:val="en-US"/>
        </w:rPr>
        <w:t>.</w:t>
      </w:r>
      <w:r w:rsidR="008469F9" w:rsidRPr="00E11DAC">
        <w:rPr>
          <w:rStyle w:val="Odwoanieprzypisudolnego"/>
          <w:rFonts w:ascii="Times New Roman" w:hAnsi="Times New Roman" w:cs="Times New Roman"/>
          <w:sz w:val="24"/>
          <w:szCs w:val="24"/>
          <w:lang w:val="en-US"/>
        </w:rPr>
        <w:footnoteReference w:id="38"/>
      </w:r>
      <w:r w:rsidR="00180715" w:rsidRPr="00E11DAC">
        <w:rPr>
          <w:rFonts w:ascii="Times New Roman" w:hAnsi="Times New Roman" w:cs="Times New Roman"/>
          <w:sz w:val="24"/>
          <w:szCs w:val="24"/>
          <w:lang w:val="en-CA"/>
        </w:rPr>
        <w:t xml:space="preserve"> </w:t>
      </w:r>
      <w:r w:rsidR="00E11DAC">
        <w:rPr>
          <w:rFonts w:ascii="Times New Roman" w:hAnsi="Times New Roman" w:cs="Times New Roman"/>
          <w:sz w:val="24"/>
          <w:szCs w:val="24"/>
          <w:lang w:val="en-CA"/>
        </w:rPr>
        <w:t xml:space="preserve">One can wonder </w:t>
      </w:r>
      <w:r w:rsidR="00C43728">
        <w:rPr>
          <w:rFonts w:ascii="Times New Roman" w:hAnsi="Times New Roman" w:cs="Times New Roman"/>
          <w:sz w:val="24"/>
          <w:szCs w:val="24"/>
          <w:lang w:val="en-CA"/>
        </w:rPr>
        <w:t xml:space="preserve">whether </w:t>
      </w:r>
      <w:r>
        <w:rPr>
          <w:rFonts w:ascii="Times New Roman" w:hAnsi="Times New Roman" w:cs="Times New Roman"/>
          <w:sz w:val="24"/>
          <w:szCs w:val="24"/>
          <w:lang w:val="en-CA"/>
        </w:rPr>
        <w:t xml:space="preserve">a measure restricting the right to freedom of movement </w:t>
      </w:r>
      <w:r w:rsidR="0023283B">
        <w:rPr>
          <w:rFonts w:ascii="Times New Roman" w:hAnsi="Times New Roman" w:cs="Times New Roman"/>
          <w:sz w:val="24"/>
          <w:szCs w:val="24"/>
          <w:lang w:val="en-CA"/>
        </w:rPr>
        <w:t>implies</w:t>
      </w:r>
      <w:r w:rsidR="00E11DAC" w:rsidRPr="00954E91">
        <w:rPr>
          <w:rFonts w:ascii="Times New Roman" w:hAnsi="Times New Roman" w:cs="Times New Roman"/>
          <w:sz w:val="24"/>
          <w:szCs w:val="24"/>
          <w:lang w:val="en-CA"/>
        </w:rPr>
        <w:t xml:space="preserve"> the determination of a civil right </w:t>
      </w:r>
      <w:r>
        <w:rPr>
          <w:rFonts w:ascii="Times New Roman" w:hAnsi="Times New Roman" w:cs="Times New Roman"/>
          <w:sz w:val="24"/>
          <w:szCs w:val="24"/>
          <w:lang w:val="en-CA"/>
        </w:rPr>
        <w:t>a</w:t>
      </w:r>
      <w:r w:rsidR="00734368">
        <w:rPr>
          <w:rFonts w:ascii="Times New Roman" w:hAnsi="Times New Roman" w:cs="Times New Roman"/>
          <w:sz w:val="24"/>
          <w:szCs w:val="24"/>
          <w:lang w:val="en-CA"/>
        </w:rPr>
        <w:t>s well</w:t>
      </w:r>
      <w:r w:rsidR="00E11DAC" w:rsidRPr="00E11DAC">
        <w:rPr>
          <w:rFonts w:ascii="Times New Roman" w:hAnsi="Times New Roman" w:cs="Times New Roman"/>
          <w:sz w:val="24"/>
          <w:szCs w:val="24"/>
          <w:lang w:val="en-CA"/>
        </w:rPr>
        <w:t>.</w:t>
      </w:r>
      <w:r w:rsidR="00E11DAC" w:rsidRPr="00E11DAC">
        <w:rPr>
          <w:rFonts w:ascii="Times New Roman" w:hAnsi="Times New Roman" w:cs="Times New Roman"/>
          <w:sz w:val="24"/>
          <w:szCs w:val="24"/>
          <w:lang w:val="en-US"/>
        </w:rPr>
        <w:t xml:space="preserve"> </w:t>
      </w:r>
      <w:r w:rsidR="00954E91" w:rsidRPr="00E11DAC">
        <w:rPr>
          <w:rFonts w:ascii="Times New Roman" w:hAnsi="Times New Roman" w:cs="Times New Roman"/>
          <w:sz w:val="24"/>
          <w:szCs w:val="24"/>
          <w:lang w:val="en-CA"/>
        </w:rPr>
        <w:t>To my knowledge, th</w:t>
      </w:r>
      <w:r w:rsidR="00E11DAC">
        <w:rPr>
          <w:rFonts w:ascii="Times New Roman" w:hAnsi="Times New Roman" w:cs="Times New Roman"/>
          <w:sz w:val="24"/>
          <w:szCs w:val="24"/>
          <w:lang w:val="en-CA"/>
        </w:rPr>
        <w:t>is</w:t>
      </w:r>
      <w:r w:rsidR="00954E91" w:rsidRPr="00E11DAC">
        <w:rPr>
          <w:rFonts w:ascii="Times New Roman" w:hAnsi="Times New Roman" w:cs="Times New Roman"/>
          <w:sz w:val="24"/>
          <w:szCs w:val="24"/>
          <w:lang w:val="en-CA"/>
        </w:rPr>
        <w:t xml:space="preserve"> question </w:t>
      </w:r>
      <w:r w:rsidR="00E11DAC" w:rsidRPr="00E11DAC">
        <w:rPr>
          <w:rFonts w:ascii="Times New Roman" w:hAnsi="Times New Roman" w:cs="Times New Roman"/>
          <w:sz w:val="24"/>
          <w:szCs w:val="24"/>
          <w:lang w:val="en-CA"/>
        </w:rPr>
        <w:t>has not yet arisen before the Strasbourg Court</w:t>
      </w:r>
      <w:r w:rsidR="00E11DAC">
        <w:rPr>
          <w:rFonts w:ascii="Times New Roman" w:hAnsi="Times New Roman" w:cs="Times New Roman"/>
          <w:sz w:val="24"/>
          <w:szCs w:val="24"/>
          <w:lang w:val="en-CA"/>
        </w:rPr>
        <w:t xml:space="preserve">. </w:t>
      </w:r>
      <w:r w:rsidR="00954E91" w:rsidRPr="00E11DAC">
        <w:rPr>
          <w:rFonts w:ascii="Times New Roman" w:hAnsi="Times New Roman" w:cs="Times New Roman"/>
          <w:sz w:val="24"/>
          <w:szCs w:val="24"/>
          <w:lang w:val="en-US"/>
        </w:rPr>
        <w:t>However, in my</w:t>
      </w:r>
      <w:r w:rsidR="00954E91" w:rsidRPr="00954E91">
        <w:rPr>
          <w:rFonts w:ascii="Times New Roman" w:hAnsi="Times New Roman" w:cs="Times New Roman"/>
          <w:sz w:val="24"/>
          <w:szCs w:val="24"/>
          <w:lang w:val="en-US"/>
        </w:rPr>
        <w:t xml:space="preserve"> opinion, </w:t>
      </w:r>
      <w:r w:rsidR="0023283B">
        <w:rPr>
          <w:rFonts w:ascii="Times New Roman" w:hAnsi="Times New Roman" w:cs="Times New Roman"/>
          <w:sz w:val="24"/>
          <w:szCs w:val="24"/>
          <w:lang w:val="en-US"/>
        </w:rPr>
        <w:t xml:space="preserve">this might be possible, especially when the freedom-restricting measure </w:t>
      </w:r>
      <w:r>
        <w:rPr>
          <w:rFonts w:ascii="Times New Roman" w:hAnsi="Times New Roman" w:cs="Times New Roman"/>
          <w:sz w:val="24"/>
          <w:szCs w:val="24"/>
          <w:lang w:val="en-US"/>
        </w:rPr>
        <w:t>ha</w:t>
      </w:r>
      <w:r w:rsidR="0023283B">
        <w:rPr>
          <w:rFonts w:ascii="Times New Roman" w:hAnsi="Times New Roman" w:cs="Times New Roman"/>
          <w:sz w:val="24"/>
          <w:szCs w:val="24"/>
          <w:lang w:val="en-US"/>
        </w:rPr>
        <w:t>s</w:t>
      </w:r>
      <w:r w:rsidR="00954E91" w:rsidRPr="00954E91">
        <w:rPr>
          <w:rFonts w:ascii="Times New Roman" w:hAnsi="Times New Roman" w:cs="Times New Roman"/>
          <w:sz w:val="24"/>
          <w:szCs w:val="24"/>
          <w:lang w:val="en-US"/>
        </w:rPr>
        <w:t xml:space="preserve"> repercussions </w:t>
      </w:r>
      <w:r w:rsidR="00954E91" w:rsidRPr="00954E91">
        <w:rPr>
          <w:rFonts w:ascii="Times New Roman" w:hAnsi="Times New Roman" w:cs="Times New Roman"/>
          <w:color w:val="000000"/>
          <w:sz w:val="24"/>
          <w:szCs w:val="24"/>
          <w:shd w:val="clear" w:color="auto" w:fill="FFFFFF"/>
          <w:lang w:val="en-US"/>
        </w:rPr>
        <w:t xml:space="preserve">on </w:t>
      </w:r>
      <w:r w:rsidR="00954E91" w:rsidRPr="00954E91">
        <w:rPr>
          <w:rFonts w:ascii="Times New Roman" w:hAnsi="Times New Roman" w:cs="Times New Roman"/>
          <w:sz w:val="24"/>
          <w:szCs w:val="24"/>
          <w:lang w:val="en-US"/>
        </w:rPr>
        <w:t>other, civil rights</w:t>
      </w:r>
      <w:r w:rsidR="00954E91">
        <w:rPr>
          <w:rFonts w:ascii="Times New Roman" w:hAnsi="Times New Roman" w:cs="Times New Roman"/>
          <w:sz w:val="24"/>
          <w:szCs w:val="24"/>
          <w:lang w:val="en-US"/>
        </w:rPr>
        <w:t>, such as</w:t>
      </w:r>
      <w:r w:rsidR="00954E91" w:rsidRPr="00954E91">
        <w:rPr>
          <w:rFonts w:ascii="Times New Roman" w:hAnsi="Times New Roman" w:cs="Times New Roman"/>
          <w:color w:val="000000"/>
          <w:sz w:val="24"/>
          <w:szCs w:val="24"/>
          <w:shd w:val="clear" w:color="auto" w:fill="FFFFFF"/>
          <w:lang w:val="en-US"/>
        </w:rPr>
        <w:t xml:space="preserve"> the individual’s private life</w:t>
      </w:r>
      <w:r w:rsidR="00E11DAC">
        <w:rPr>
          <w:rFonts w:ascii="Times New Roman" w:hAnsi="Times New Roman" w:cs="Times New Roman"/>
          <w:color w:val="000000"/>
          <w:sz w:val="24"/>
          <w:szCs w:val="24"/>
          <w:shd w:val="clear" w:color="auto" w:fill="FFFFFF"/>
          <w:lang w:val="en-US"/>
        </w:rPr>
        <w:t xml:space="preserve"> in </w:t>
      </w:r>
      <w:r w:rsidR="00571696">
        <w:rPr>
          <w:rFonts w:ascii="Times New Roman" w:hAnsi="Times New Roman" w:cs="Times New Roman"/>
          <w:color w:val="000000"/>
          <w:sz w:val="24"/>
          <w:szCs w:val="24"/>
          <w:shd w:val="clear" w:color="auto" w:fill="FFFFFF"/>
          <w:lang w:val="en-US"/>
        </w:rPr>
        <w:t>Article</w:t>
      </w:r>
      <w:r w:rsidR="00E11DAC">
        <w:rPr>
          <w:rFonts w:ascii="Times New Roman" w:hAnsi="Times New Roman" w:cs="Times New Roman"/>
          <w:color w:val="000000"/>
          <w:sz w:val="24"/>
          <w:szCs w:val="24"/>
          <w:shd w:val="clear" w:color="auto" w:fill="FFFFFF"/>
          <w:lang w:val="en-US"/>
        </w:rPr>
        <w:t xml:space="preserve"> 8 ECHR</w:t>
      </w:r>
      <w:r w:rsidR="00954E91" w:rsidRPr="00954E91">
        <w:rPr>
          <w:rStyle w:val="Odwoanieprzypisudolnego"/>
          <w:rFonts w:ascii="Times New Roman" w:hAnsi="Times New Roman" w:cs="Times New Roman"/>
          <w:color w:val="000000"/>
          <w:sz w:val="24"/>
          <w:szCs w:val="24"/>
          <w:shd w:val="clear" w:color="auto" w:fill="FFFFFF"/>
          <w:lang w:val="en-US"/>
        </w:rPr>
        <w:footnoteReference w:id="39"/>
      </w:r>
      <w:r w:rsidR="00397331">
        <w:rPr>
          <w:rFonts w:ascii="Times New Roman" w:hAnsi="Times New Roman" w:cs="Times New Roman"/>
          <w:sz w:val="24"/>
          <w:szCs w:val="24"/>
          <w:lang w:val="en-US"/>
        </w:rPr>
        <w:t>.</w:t>
      </w:r>
    </w:p>
    <w:p w14:paraId="6F759021" w14:textId="2970198B" w:rsidR="00270D16" w:rsidRDefault="00BD0EB1" w:rsidP="000F22DA">
      <w:pPr>
        <w:jc w:val="both"/>
        <w:rPr>
          <w:rFonts w:ascii="Times New Roman" w:hAnsi="Times New Roman" w:cs="Times New Roman"/>
          <w:sz w:val="24"/>
          <w:szCs w:val="24"/>
          <w:lang w:val="en-CA"/>
        </w:rPr>
      </w:pPr>
      <w:r>
        <w:rPr>
          <w:rFonts w:ascii="Times New Roman" w:hAnsi="Times New Roman" w:cs="Times New Roman"/>
          <w:sz w:val="24"/>
          <w:szCs w:val="24"/>
          <w:lang w:val="en-CA"/>
        </w:rPr>
        <w:t>T</w:t>
      </w:r>
      <w:r w:rsidR="008340CF" w:rsidRPr="00BD0EB1">
        <w:rPr>
          <w:rFonts w:ascii="Times New Roman" w:hAnsi="Times New Roman" w:cs="Times New Roman"/>
          <w:sz w:val="24"/>
          <w:szCs w:val="24"/>
          <w:lang w:val="en-CA"/>
        </w:rPr>
        <w:t xml:space="preserve">he </w:t>
      </w:r>
      <w:r>
        <w:rPr>
          <w:rFonts w:ascii="Times New Roman" w:hAnsi="Times New Roman" w:cs="Times New Roman"/>
          <w:sz w:val="24"/>
          <w:szCs w:val="24"/>
          <w:lang w:val="en-CA"/>
        </w:rPr>
        <w:t xml:space="preserve">Belgian </w:t>
      </w:r>
      <w:r w:rsidR="00C43728" w:rsidRPr="00BD0EB1">
        <w:rPr>
          <w:rFonts w:ascii="Times New Roman" w:hAnsi="Times New Roman" w:cs="Times New Roman"/>
          <w:sz w:val="24"/>
          <w:szCs w:val="24"/>
          <w:lang w:val="en-CA"/>
        </w:rPr>
        <w:t xml:space="preserve">Council of State </w:t>
      </w:r>
      <w:r w:rsidRPr="00BD0EB1">
        <w:rPr>
          <w:rFonts w:ascii="Times New Roman" w:hAnsi="Times New Roman" w:cs="Times New Roman"/>
          <w:sz w:val="24"/>
          <w:szCs w:val="24"/>
          <w:lang w:val="en-CA"/>
        </w:rPr>
        <w:t xml:space="preserve">does not expressly refer to </w:t>
      </w:r>
      <w:r w:rsidR="00571696">
        <w:rPr>
          <w:rFonts w:ascii="Times New Roman" w:hAnsi="Times New Roman" w:cs="Times New Roman"/>
          <w:sz w:val="24"/>
          <w:szCs w:val="24"/>
          <w:lang w:val="en-CA"/>
        </w:rPr>
        <w:t>Article</w:t>
      </w:r>
      <w:r w:rsidR="008340CF" w:rsidRPr="00BD0EB1">
        <w:rPr>
          <w:rFonts w:ascii="Times New Roman" w:hAnsi="Times New Roman" w:cs="Times New Roman"/>
          <w:sz w:val="24"/>
          <w:szCs w:val="24"/>
          <w:lang w:val="en-CA"/>
        </w:rPr>
        <w:t xml:space="preserve"> 6 </w:t>
      </w:r>
      <w:r w:rsidRPr="00BD0EB1">
        <w:rPr>
          <w:rFonts w:ascii="Times New Roman" w:hAnsi="Times New Roman" w:cs="Times New Roman"/>
          <w:sz w:val="24"/>
          <w:szCs w:val="24"/>
          <w:lang w:val="en-CA"/>
        </w:rPr>
        <w:t xml:space="preserve">ECHR </w:t>
      </w:r>
      <w:r w:rsidR="008340CF" w:rsidRPr="00BD0EB1">
        <w:rPr>
          <w:rFonts w:ascii="Times New Roman" w:hAnsi="Times New Roman" w:cs="Times New Roman"/>
          <w:sz w:val="24"/>
          <w:szCs w:val="24"/>
          <w:lang w:val="en-CA"/>
        </w:rPr>
        <w:t xml:space="preserve">to </w:t>
      </w:r>
      <w:r w:rsidRPr="00BD0EB1">
        <w:rPr>
          <w:rFonts w:ascii="Times New Roman" w:hAnsi="Times New Roman" w:cs="Times New Roman"/>
          <w:sz w:val="24"/>
          <w:szCs w:val="24"/>
          <w:lang w:val="en-CA"/>
        </w:rPr>
        <w:t xml:space="preserve">distinguish </w:t>
      </w:r>
      <w:r w:rsidR="008340CF" w:rsidRPr="00BD0EB1">
        <w:rPr>
          <w:rFonts w:ascii="Times New Roman" w:hAnsi="Times New Roman" w:cs="Times New Roman"/>
          <w:sz w:val="24"/>
          <w:szCs w:val="24"/>
          <w:lang w:val="en-CA"/>
        </w:rPr>
        <w:t>between</w:t>
      </w:r>
      <w:r>
        <w:rPr>
          <w:rFonts w:ascii="Times New Roman" w:hAnsi="Times New Roman" w:cs="Times New Roman"/>
          <w:sz w:val="24"/>
          <w:szCs w:val="24"/>
          <w:lang w:val="en-CA"/>
        </w:rPr>
        <w:t xml:space="preserve"> public order powers with a</w:t>
      </w:r>
      <w:r w:rsidR="008340CF" w:rsidRPr="00BD0EB1">
        <w:rPr>
          <w:rFonts w:ascii="Times New Roman" w:hAnsi="Times New Roman" w:cs="Times New Roman"/>
          <w:sz w:val="24"/>
          <w:szCs w:val="24"/>
          <w:lang w:val="en-CA"/>
        </w:rPr>
        <w:t xml:space="preserve"> </w:t>
      </w:r>
      <w:r w:rsidR="0023283B">
        <w:rPr>
          <w:rFonts w:ascii="Times New Roman" w:hAnsi="Times New Roman" w:cs="Times New Roman"/>
          <w:sz w:val="24"/>
          <w:szCs w:val="24"/>
          <w:lang w:val="en-CA"/>
        </w:rPr>
        <w:t xml:space="preserve">punitive or </w:t>
      </w:r>
      <w:r w:rsidR="008340CF" w:rsidRPr="00BD0EB1">
        <w:rPr>
          <w:rFonts w:ascii="Times New Roman" w:hAnsi="Times New Roman" w:cs="Times New Roman"/>
          <w:sz w:val="24"/>
          <w:szCs w:val="24"/>
          <w:lang w:val="en-CA"/>
        </w:rPr>
        <w:t>crimin</w:t>
      </w:r>
      <w:r w:rsidRPr="00BD0EB1">
        <w:rPr>
          <w:rFonts w:ascii="Times New Roman" w:hAnsi="Times New Roman" w:cs="Times New Roman"/>
          <w:sz w:val="24"/>
          <w:szCs w:val="24"/>
          <w:lang w:val="en-CA"/>
        </w:rPr>
        <w:t xml:space="preserve">al </w:t>
      </w:r>
      <w:r>
        <w:rPr>
          <w:rFonts w:ascii="Times New Roman" w:hAnsi="Times New Roman" w:cs="Times New Roman"/>
          <w:sz w:val="24"/>
          <w:szCs w:val="24"/>
          <w:lang w:val="en-CA"/>
        </w:rPr>
        <w:t xml:space="preserve">purpose and those </w:t>
      </w:r>
      <w:r w:rsidR="0023283B">
        <w:rPr>
          <w:rFonts w:ascii="Times New Roman" w:hAnsi="Times New Roman" w:cs="Times New Roman"/>
          <w:sz w:val="24"/>
          <w:szCs w:val="24"/>
          <w:lang w:val="en-CA"/>
        </w:rPr>
        <w:t>which are more preventive</w:t>
      </w:r>
      <w:r w:rsidR="00147FD1">
        <w:rPr>
          <w:rFonts w:ascii="Times New Roman" w:hAnsi="Times New Roman" w:cs="Times New Roman"/>
          <w:sz w:val="24"/>
          <w:szCs w:val="24"/>
          <w:lang w:val="en-CA"/>
        </w:rPr>
        <w:t xml:space="preserve">. However, </w:t>
      </w:r>
      <w:r w:rsidR="008340CF" w:rsidRPr="00BD0EB1">
        <w:rPr>
          <w:rFonts w:ascii="Times New Roman" w:hAnsi="Times New Roman" w:cs="Times New Roman"/>
          <w:sz w:val="24"/>
          <w:szCs w:val="24"/>
          <w:lang w:val="en-CA"/>
        </w:rPr>
        <w:t>it does take into account the purpose of the measure</w:t>
      </w:r>
      <w:r w:rsidRPr="00BD0EB1">
        <w:rPr>
          <w:rFonts w:ascii="Times New Roman" w:hAnsi="Times New Roman" w:cs="Times New Roman"/>
          <w:sz w:val="24"/>
          <w:szCs w:val="24"/>
          <w:lang w:val="en-CA"/>
        </w:rPr>
        <w:t xml:space="preserve"> contested</w:t>
      </w:r>
      <w:r>
        <w:rPr>
          <w:rFonts w:ascii="Times New Roman" w:hAnsi="Times New Roman" w:cs="Times New Roman"/>
          <w:sz w:val="24"/>
          <w:szCs w:val="24"/>
          <w:lang w:val="en-CA"/>
        </w:rPr>
        <w:t xml:space="preserve">. In Belgium, the purpose of the measure </w:t>
      </w:r>
      <w:r w:rsidR="006B31CF">
        <w:rPr>
          <w:rFonts w:ascii="Times New Roman" w:hAnsi="Times New Roman" w:cs="Times New Roman"/>
          <w:sz w:val="24"/>
          <w:szCs w:val="24"/>
          <w:lang w:val="en-CA"/>
        </w:rPr>
        <w:t xml:space="preserve">is important, since it </w:t>
      </w:r>
      <w:r w:rsidR="00AE7852">
        <w:rPr>
          <w:rFonts w:ascii="Times New Roman" w:hAnsi="Times New Roman" w:cs="Times New Roman"/>
          <w:sz w:val="24"/>
          <w:szCs w:val="24"/>
          <w:lang w:val="en-CA"/>
        </w:rPr>
        <w:t>brings along a different</w:t>
      </w:r>
      <w:r w:rsidR="000F22DA">
        <w:rPr>
          <w:rFonts w:ascii="Times New Roman" w:hAnsi="Times New Roman" w:cs="Times New Roman"/>
          <w:sz w:val="24"/>
          <w:szCs w:val="24"/>
          <w:lang w:val="en-CA"/>
        </w:rPr>
        <w:t xml:space="preserve"> legal classification of th</w:t>
      </w:r>
      <w:r w:rsidR="0023283B">
        <w:rPr>
          <w:rFonts w:ascii="Times New Roman" w:hAnsi="Times New Roman" w:cs="Times New Roman"/>
          <w:sz w:val="24"/>
          <w:szCs w:val="24"/>
          <w:lang w:val="en-CA"/>
        </w:rPr>
        <w:t>at</w:t>
      </w:r>
      <w:r w:rsidR="000F22DA">
        <w:rPr>
          <w:rFonts w:ascii="Times New Roman" w:hAnsi="Times New Roman" w:cs="Times New Roman"/>
          <w:sz w:val="24"/>
          <w:szCs w:val="24"/>
          <w:lang w:val="en-CA"/>
        </w:rPr>
        <w:t xml:space="preserve"> </w:t>
      </w:r>
      <w:r>
        <w:rPr>
          <w:rFonts w:ascii="Times New Roman" w:hAnsi="Times New Roman" w:cs="Times New Roman"/>
          <w:sz w:val="24"/>
          <w:szCs w:val="24"/>
          <w:lang w:val="en-CA"/>
        </w:rPr>
        <w:t>measure</w:t>
      </w:r>
      <w:r w:rsidR="000F22DA">
        <w:rPr>
          <w:rFonts w:ascii="Times New Roman" w:hAnsi="Times New Roman" w:cs="Times New Roman"/>
          <w:sz w:val="24"/>
          <w:szCs w:val="24"/>
          <w:lang w:val="en-CA"/>
        </w:rPr>
        <w:t xml:space="preserve">. </w:t>
      </w:r>
      <w:r w:rsidR="006B31CF">
        <w:rPr>
          <w:rFonts w:ascii="Times New Roman" w:hAnsi="Times New Roman" w:cs="Times New Roman"/>
          <w:sz w:val="24"/>
          <w:szCs w:val="24"/>
          <w:lang w:val="en-CA"/>
        </w:rPr>
        <w:t xml:space="preserve">In general, </w:t>
      </w:r>
      <w:r w:rsidR="006C4404">
        <w:rPr>
          <w:rFonts w:ascii="Times New Roman" w:hAnsi="Times New Roman" w:cs="Times New Roman"/>
          <w:sz w:val="24"/>
          <w:szCs w:val="24"/>
          <w:lang w:val="en-CA"/>
        </w:rPr>
        <w:t>t</w:t>
      </w:r>
      <w:r w:rsidR="00E71BA2">
        <w:rPr>
          <w:rFonts w:ascii="Times New Roman" w:hAnsi="Times New Roman" w:cs="Times New Roman"/>
          <w:sz w:val="24"/>
          <w:szCs w:val="24"/>
          <w:lang w:val="en-CA"/>
        </w:rPr>
        <w:t>wo categories of public order p</w:t>
      </w:r>
      <w:r w:rsidR="000F22DA">
        <w:rPr>
          <w:rFonts w:ascii="Times New Roman" w:hAnsi="Times New Roman" w:cs="Times New Roman"/>
          <w:sz w:val="24"/>
          <w:szCs w:val="24"/>
          <w:lang w:val="en-CA"/>
        </w:rPr>
        <w:t xml:space="preserve">owers </w:t>
      </w:r>
      <w:r w:rsidR="006C4404">
        <w:rPr>
          <w:rFonts w:ascii="Times New Roman" w:hAnsi="Times New Roman" w:cs="Times New Roman"/>
          <w:sz w:val="24"/>
          <w:szCs w:val="24"/>
          <w:lang w:val="en-CA"/>
        </w:rPr>
        <w:t xml:space="preserve">are </w:t>
      </w:r>
      <w:r w:rsidR="00E71BA2">
        <w:rPr>
          <w:rFonts w:ascii="Times New Roman" w:hAnsi="Times New Roman" w:cs="Times New Roman"/>
          <w:sz w:val="24"/>
          <w:szCs w:val="24"/>
          <w:lang w:val="en-CA"/>
        </w:rPr>
        <w:t>distinguished</w:t>
      </w:r>
      <w:r w:rsidR="006B31CF">
        <w:rPr>
          <w:rFonts w:ascii="Times New Roman" w:hAnsi="Times New Roman" w:cs="Times New Roman"/>
          <w:sz w:val="24"/>
          <w:szCs w:val="24"/>
          <w:lang w:val="en-CA"/>
        </w:rPr>
        <w:t xml:space="preserve"> in Belgian administrative law</w:t>
      </w:r>
      <w:r w:rsidR="00270D16">
        <w:rPr>
          <w:rFonts w:ascii="Times New Roman" w:hAnsi="Times New Roman" w:cs="Times New Roman"/>
          <w:sz w:val="24"/>
          <w:szCs w:val="24"/>
          <w:lang w:val="en-CA"/>
        </w:rPr>
        <w:t>, depending on their purpose</w:t>
      </w:r>
      <w:r w:rsidR="00E71BA2">
        <w:rPr>
          <w:rFonts w:ascii="Times New Roman" w:hAnsi="Times New Roman" w:cs="Times New Roman"/>
          <w:sz w:val="24"/>
          <w:szCs w:val="24"/>
          <w:lang w:val="en-CA"/>
        </w:rPr>
        <w:t xml:space="preserve">. First, public order </w:t>
      </w:r>
      <w:r w:rsidR="00DD2BD8">
        <w:rPr>
          <w:rFonts w:ascii="Times New Roman" w:hAnsi="Times New Roman" w:cs="Times New Roman"/>
          <w:sz w:val="24"/>
          <w:szCs w:val="24"/>
          <w:lang w:val="en-CA"/>
        </w:rPr>
        <w:t>powers</w:t>
      </w:r>
      <w:r w:rsidR="00E71BA2">
        <w:rPr>
          <w:rFonts w:ascii="Times New Roman" w:hAnsi="Times New Roman" w:cs="Times New Roman"/>
          <w:sz w:val="24"/>
          <w:szCs w:val="24"/>
          <w:lang w:val="en-CA"/>
        </w:rPr>
        <w:t xml:space="preserve"> can be imposed </w:t>
      </w:r>
      <w:r w:rsidR="000F22DA" w:rsidRPr="00700D52">
        <w:rPr>
          <w:rFonts w:ascii="Times New Roman" w:hAnsi="Times New Roman" w:cs="Times New Roman"/>
          <w:sz w:val="24"/>
          <w:szCs w:val="24"/>
          <w:lang w:val="en-CA"/>
        </w:rPr>
        <w:t xml:space="preserve">as an </w:t>
      </w:r>
      <w:r w:rsidR="00A41EE9">
        <w:rPr>
          <w:rFonts w:ascii="Times New Roman" w:hAnsi="Times New Roman" w:cs="Times New Roman"/>
          <w:sz w:val="24"/>
          <w:szCs w:val="24"/>
          <w:lang w:val="en-CA"/>
        </w:rPr>
        <w:t>‘</w:t>
      </w:r>
      <w:r w:rsidR="000F22DA" w:rsidRPr="00700D52">
        <w:rPr>
          <w:rFonts w:ascii="Times New Roman" w:hAnsi="Times New Roman" w:cs="Times New Roman"/>
          <w:sz w:val="24"/>
          <w:szCs w:val="24"/>
          <w:lang w:val="en-CA"/>
        </w:rPr>
        <w:t>administrative sanction</w:t>
      </w:r>
      <w:r w:rsidR="00A41EE9">
        <w:rPr>
          <w:rFonts w:ascii="Times New Roman" w:hAnsi="Times New Roman" w:cs="Times New Roman"/>
          <w:sz w:val="24"/>
          <w:szCs w:val="24"/>
          <w:lang w:val="en-CA"/>
        </w:rPr>
        <w:t>’</w:t>
      </w:r>
      <w:r w:rsidR="000F22DA">
        <w:rPr>
          <w:rFonts w:ascii="Times New Roman" w:hAnsi="Times New Roman" w:cs="Times New Roman"/>
          <w:sz w:val="24"/>
          <w:szCs w:val="24"/>
          <w:lang w:val="en-CA"/>
        </w:rPr>
        <w:t xml:space="preserve">, </w:t>
      </w:r>
      <w:r w:rsidR="00E71BA2">
        <w:rPr>
          <w:rFonts w:ascii="Times New Roman" w:hAnsi="Times New Roman" w:cs="Times New Roman"/>
          <w:sz w:val="24"/>
          <w:szCs w:val="24"/>
          <w:lang w:val="en-CA"/>
        </w:rPr>
        <w:t xml:space="preserve">which </w:t>
      </w:r>
      <w:r w:rsidR="00811771">
        <w:rPr>
          <w:rFonts w:ascii="Times New Roman" w:hAnsi="Times New Roman" w:cs="Times New Roman"/>
          <w:sz w:val="24"/>
          <w:szCs w:val="24"/>
          <w:lang w:val="en-CA"/>
        </w:rPr>
        <w:t>aim</w:t>
      </w:r>
      <w:r w:rsidR="00E71BA2">
        <w:rPr>
          <w:rFonts w:ascii="Times New Roman" w:hAnsi="Times New Roman" w:cs="Times New Roman"/>
          <w:sz w:val="24"/>
          <w:szCs w:val="24"/>
          <w:lang w:val="en-CA"/>
        </w:rPr>
        <w:t>s to</w:t>
      </w:r>
      <w:r w:rsidR="000F22DA">
        <w:rPr>
          <w:rFonts w:ascii="Times New Roman" w:hAnsi="Times New Roman" w:cs="Times New Roman"/>
          <w:sz w:val="24"/>
          <w:szCs w:val="24"/>
          <w:lang w:val="en-CA"/>
        </w:rPr>
        <w:t xml:space="preserve"> punish</w:t>
      </w:r>
      <w:r w:rsidR="000F22DA" w:rsidRPr="00700D52">
        <w:rPr>
          <w:rFonts w:ascii="Times New Roman" w:hAnsi="Times New Roman" w:cs="Times New Roman"/>
          <w:sz w:val="24"/>
          <w:szCs w:val="24"/>
          <w:lang w:val="en-CA"/>
        </w:rPr>
        <w:t xml:space="preserve"> the offender </w:t>
      </w:r>
      <w:r w:rsidR="000F22DA">
        <w:rPr>
          <w:rFonts w:ascii="Times New Roman" w:hAnsi="Times New Roman" w:cs="Times New Roman"/>
          <w:sz w:val="24"/>
          <w:szCs w:val="24"/>
          <w:lang w:val="en-CA"/>
        </w:rPr>
        <w:t xml:space="preserve">for </w:t>
      </w:r>
      <w:r w:rsidR="00E71BA2">
        <w:rPr>
          <w:rFonts w:ascii="Times New Roman" w:hAnsi="Times New Roman" w:cs="Times New Roman"/>
          <w:sz w:val="24"/>
          <w:szCs w:val="24"/>
          <w:lang w:val="en-CA"/>
        </w:rPr>
        <w:t>the offences he or she committed, thus reacting to past actions</w:t>
      </w:r>
      <w:r w:rsidR="000F22DA">
        <w:rPr>
          <w:rFonts w:ascii="Times New Roman" w:hAnsi="Times New Roman" w:cs="Times New Roman"/>
          <w:sz w:val="24"/>
          <w:szCs w:val="24"/>
          <w:lang w:val="en-CA"/>
        </w:rPr>
        <w:t xml:space="preserve">. </w:t>
      </w:r>
      <w:r w:rsidR="00E71BA2">
        <w:rPr>
          <w:rFonts w:ascii="Times New Roman" w:hAnsi="Times New Roman" w:cs="Times New Roman"/>
          <w:sz w:val="24"/>
          <w:szCs w:val="24"/>
          <w:lang w:val="en-CA"/>
        </w:rPr>
        <w:t>Second</w:t>
      </w:r>
      <w:r w:rsidR="000F22DA">
        <w:rPr>
          <w:rFonts w:ascii="Times New Roman" w:hAnsi="Times New Roman" w:cs="Times New Roman"/>
          <w:sz w:val="24"/>
          <w:szCs w:val="24"/>
          <w:lang w:val="en-CA"/>
        </w:rPr>
        <w:t xml:space="preserve">, these powers </w:t>
      </w:r>
      <w:r w:rsidR="00E71BA2">
        <w:rPr>
          <w:rFonts w:ascii="Times New Roman" w:hAnsi="Times New Roman" w:cs="Times New Roman"/>
          <w:sz w:val="24"/>
          <w:szCs w:val="24"/>
          <w:lang w:val="en-CA"/>
        </w:rPr>
        <w:t>can</w:t>
      </w:r>
      <w:r w:rsidR="000F22DA">
        <w:rPr>
          <w:rFonts w:ascii="Times New Roman" w:hAnsi="Times New Roman" w:cs="Times New Roman"/>
          <w:sz w:val="24"/>
          <w:szCs w:val="24"/>
          <w:lang w:val="en-CA"/>
        </w:rPr>
        <w:t xml:space="preserve"> also be imposed as a</w:t>
      </w:r>
      <w:r w:rsidR="00A41EE9">
        <w:rPr>
          <w:rFonts w:ascii="Times New Roman" w:hAnsi="Times New Roman" w:cs="Times New Roman"/>
          <w:sz w:val="24"/>
          <w:szCs w:val="24"/>
          <w:lang w:val="en-CA"/>
        </w:rPr>
        <w:t>n</w:t>
      </w:r>
      <w:r w:rsidR="000F22DA">
        <w:rPr>
          <w:rFonts w:ascii="Times New Roman" w:hAnsi="Times New Roman" w:cs="Times New Roman"/>
          <w:sz w:val="24"/>
          <w:szCs w:val="24"/>
          <w:lang w:val="en-CA"/>
        </w:rPr>
        <w:t xml:space="preserve"> </w:t>
      </w:r>
      <w:r w:rsidR="008049D6">
        <w:rPr>
          <w:rFonts w:ascii="Times New Roman" w:hAnsi="Times New Roman" w:cs="Times New Roman"/>
          <w:sz w:val="24"/>
          <w:szCs w:val="24"/>
          <w:lang w:val="en-CA"/>
        </w:rPr>
        <w:t>‘</w:t>
      </w:r>
      <w:r w:rsidR="00A41EE9">
        <w:rPr>
          <w:rFonts w:ascii="Times New Roman" w:hAnsi="Times New Roman" w:cs="Times New Roman"/>
          <w:sz w:val="24"/>
          <w:szCs w:val="24"/>
          <w:lang w:val="en-CA"/>
        </w:rPr>
        <w:t>administrative</w:t>
      </w:r>
      <w:r w:rsidR="000F22DA">
        <w:rPr>
          <w:rFonts w:ascii="Times New Roman" w:hAnsi="Times New Roman" w:cs="Times New Roman"/>
          <w:sz w:val="24"/>
          <w:szCs w:val="24"/>
          <w:lang w:val="en-CA"/>
        </w:rPr>
        <w:t xml:space="preserve"> </w:t>
      </w:r>
      <w:r w:rsidR="000F22DA" w:rsidRPr="00700D52">
        <w:rPr>
          <w:rFonts w:ascii="Times New Roman" w:hAnsi="Times New Roman" w:cs="Times New Roman"/>
          <w:sz w:val="24"/>
          <w:szCs w:val="24"/>
          <w:lang w:val="en-CA"/>
        </w:rPr>
        <w:t>measur</w:t>
      </w:r>
      <w:r w:rsidR="000F22DA">
        <w:rPr>
          <w:rFonts w:ascii="Times New Roman" w:hAnsi="Times New Roman" w:cs="Times New Roman"/>
          <w:sz w:val="24"/>
          <w:szCs w:val="24"/>
          <w:lang w:val="en-CA"/>
        </w:rPr>
        <w:t>e</w:t>
      </w:r>
      <w:r w:rsidR="008049D6">
        <w:rPr>
          <w:rFonts w:ascii="Times New Roman" w:hAnsi="Times New Roman" w:cs="Times New Roman"/>
          <w:sz w:val="24"/>
          <w:szCs w:val="24"/>
          <w:lang w:val="en-CA"/>
        </w:rPr>
        <w:t>’</w:t>
      </w:r>
      <w:r w:rsidR="00A41EE9">
        <w:rPr>
          <w:rFonts w:ascii="Times New Roman" w:hAnsi="Times New Roman" w:cs="Times New Roman"/>
          <w:sz w:val="24"/>
          <w:szCs w:val="24"/>
          <w:lang w:val="en-CA"/>
        </w:rPr>
        <w:t xml:space="preserve"> (so-called ‘police measure</w:t>
      </w:r>
      <w:r w:rsidR="000F22DA">
        <w:rPr>
          <w:rFonts w:ascii="Times New Roman" w:hAnsi="Times New Roman" w:cs="Times New Roman"/>
          <w:sz w:val="24"/>
          <w:szCs w:val="24"/>
          <w:lang w:val="en-CA"/>
        </w:rPr>
        <w:t>’</w:t>
      </w:r>
      <w:r w:rsidR="00A41EE9">
        <w:rPr>
          <w:rFonts w:ascii="Times New Roman" w:hAnsi="Times New Roman" w:cs="Times New Roman"/>
          <w:sz w:val="24"/>
          <w:szCs w:val="24"/>
          <w:lang w:val="en-CA"/>
        </w:rPr>
        <w:t>),</w:t>
      </w:r>
      <w:r w:rsidR="000F22DA" w:rsidRPr="00700D52">
        <w:rPr>
          <w:rFonts w:ascii="Times New Roman" w:hAnsi="Times New Roman" w:cs="Times New Roman"/>
          <w:sz w:val="24"/>
          <w:szCs w:val="24"/>
          <w:lang w:val="en-CA"/>
        </w:rPr>
        <w:t xml:space="preserve"> </w:t>
      </w:r>
      <w:r w:rsidR="000F22DA">
        <w:rPr>
          <w:rFonts w:ascii="Times New Roman" w:hAnsi="Times New Roman" w:cs="Times New Roman"/>
          <w:sz w:val="24"/>
          <w:szCs w:val="24"/>
          <w:lang w:val="en-CA"/>
        </w:rPr>
        <w:t xml:space="preserve">which </w:t>
      </w:r>
      <w:r w:rsidR="00A41EE9">
        <w:rPr>
          <w:rFonts w:ascii="Times New Roman" w:hAnsi="Times New Roman" w:cs="Times New Roman"/>
          <w:sz w:val="24"/>
          <w:szCs w:val="24"/>
          <w:lang w:val="en-CA"/>
        </w:rPr>
        <w:t xml:space="preserve">is more preventive in nature and </w:t>
      </w:r>
      <w:r w:rsidR="000F22DA">
        <w:rPr>
          <w:rFonts w:ascii="Times New Roman" w:hAnsi="Times New Roman" w:cs="Times New Roman"/>
          <w:sz w:val="24"/>
          <w:szCs w:val="24"/>
          <w:lang w:val="en-CA"/>
        </w:rPr>
        <w:t xml:space="preserve">does </w:t>
      </w:r>
      <w:r w:rsidR="000F22DA" w:rsidRPr="00700D52">
        <w:rPr>
          <w:rFonts w:ascii="Times New Roman" w:hAnsi="Times New Roman" w:cs="Times New Roman"/>
          <w:sz w:val="24"/>
          <w:szCs w:val="24"/>
          <w:lang w:val="en-CA"/>
        </w:rPr>
        <w:t xml:space="preserve">not </w:t>
      </w:r>
      <w:r w:rsidR="000F22DA">
        <w:rPr>
          <w:rFonts w:ascii="Times New Roman" w:hAnsi="Times New Roman" w:cs="Times New Roman"/>
          <w:sz w:val="24"/>
          <w:szCs w:val="24"/>
          <w:lang w:val="en-CA"/>
        </w:rPr>
        <w:t>aim to punish</w:t>
      </w:r>
      <w:r w:rsidR="000F22DA" w:rsidRPr="00700D52">
        <w:rPr>
          <w:rFonts w:ascii="Times New Roman" w:hAnsi="Times New Roman" w:cs="Times New Roman"/>
          <w:sz w:val="24"/>
          <w:szCs w:val="24"/>
          <w:lang w:val="en-CA"/>
        </w:rPr>
        <w:t xml:space="preserve"> the offender</w:t>
      </w:r>
      <w:r w:rsidR="00755B1E">
        <w:rPr>
          <w:rFonts w:ascii="Times New Roman" w:hAnsi="Times New Roman" w:cs="Times New Roman"/>
          <w:sz w:val="24"/>
          <w:szCs w:val="24"/>
          <w:lang w:val="en-CA"/>
        </w:rPr>
        <w:t xml:space="preserve"> for past action</w:t>
      </w:r>
      <w:r w:rsidR="00E71BA2">
        <w:rPr>
          <w:rFonts w:ascii="Times New Roman" w:hAnsi="Times New Roman" w:cs="Times New Roman"/>
          <w:sz w:val="24"/>
          <w:szCs w:val="24"/>
          <w:lang w:val="en-CA"/>
        </w:rPr>
        <w:t>s</w:t>
      </w:r>
      <w:r w:rsidR="000F22DA">
        <w:rPr>
          <w:rFonts w:ascii="Times New Roman" w:hAnsi="Times New Roman" w:cs="Times New Roman"/>
          <w:sz w:val="24"/>
          <w:szCs w:val="24"/>
          <w:lang w:val="en-CA"/>
        </w:rPr>
        <w:t>, but to safeguard public order</w:t>
      </w:r>
      <w:r w:rsidR="000F22DA" w:rsidRPr="0098606C">
        <w:rPr>
          <w:rStyle w:val="Odwoanieprzypisudolnego"/>
          <w:rFonts w:ascii="Times New Roman" w:hAnsi="Times New Roman" w:cs="Times New Roman"/>
          <w:sz w:val="24"/>
          <w:szCs w:val="24"/>
        </w:rPr>
        <w:footnoteReference w:id="40"/>
      </w:r>
      <w:r w:rsidR="000F22DA" w:rsidRPr="00A61CF1">
        <w:rPr>
          <w:rFonts w:ascii="Times New Roman" w:hAnsi="Times New Roman" w:cs="Times New Roman"/>
          <w:sz w:val="24"/>
          <w:szCs w:val="24"/>
          <w:lang w:val="en-CA"/>
        </w:rPr>
        <w:t xml:space="preserve">. </w:t>
      </w:r>
      <w:r w:rsidR="00E71BA2" w:rsidRPr="00E71BA2">
        <w:rPr>
          <w:rFonts w:ascii="Times New Roman" w:hAnsi="Times New Roman" w:cs="Times New Roman"/>
          <w:sz w:val="24"/>
          <w:szCs w:val="24"/>
          <w:lang w:val="en-CA"/>
        </w:rPr>
        <w:t xml:space="preserve">Therefore, it is not necessary that an offence </w:t>
      </w:r>
      <w:r w:rsidR="00E71BA2">
        <w:rPr>
          <w:rFonts w:ascii="Times New Roman" w:hAnsi="Times New Roman" w:cs="Times New Roman"/>
          <w:sz w:val="24"/>
          <w:szCs w:val="24"/>
          <w:lang w:val="en-CA"/>
        </w:rPr>
        <w:t xml:space="preserve">has </w:t>
      </w:r>
      <w:r w:rsidR="00E71BA2" w:rsidRPr="00E71BA2">
        <w:rPr>
          <w:rFonts w:ascii="Times New Roman" w:hAnsi="Times New Roman" w:cs="Times New Roman"/>
          <w:sz w:val="24"/>
          <w:szCs w:val="24"/>
          <w:lang w:val="en-CA"/>
        </w:rPr>
        <w:t xml:space="preserve">already </w:t>
      </w:r>
      <w:r w:rsidR="00E71BA2">
        <w:rPr>
          <w:rFonts w:ascii="Times New Roman" w:hAnsi="Times New Roman" w:cs="Times New Roman"/>
          <w:sz w:val="24"/>
          <w:szCs w:val="24"/>
          <w:lang w:val="en-CA"/>
        </w:rPr>
        <w:t xml:space="preserve">been </w:t>
      </w:r>
      <w:r w:rsidR="00E71BA2" w:rsidRPr="00E71BA2">
        <w:rPr>
          <w:rFonts w:ascii="Times New Roman" w:hAnsi="Times New Roman" w:cs="Times New Roman"/>
          <w:sz w:val="24"/>
          <w:szCs w:val="24"/>
          <w:lang w:val="en-CA"/>
        </w:rPr>
        <w:t>committed.</w:t>
      </w:r>
    </w:p>
    <w:p w14:paraId="13C403DF" w14:textId="1AFAFBE8" w:rsidR="000F22DA" w:rsidRDefault="000F22DA" w:rsidP="000F22DA">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The Belgian </w:t>
      </w:r>
      <w:r w:rsidR="006C4404">
        <w:rPr>
          <w:rFonts w:ascii="Times New Roman" w:hAnsi="Times New Roman" w:cs="Times New Roman"/>
          <w:sz w:val="24"/>
          <w:szCs w:val="24"/>
          <w:lang w:val="en-CA"/>
        </w:rPr>
        <w:t>legislator</w:t>
      </w:r>
      <w:r w:rsidRPr="00117CBB">
        <w:rPr>
          <w:rFonts w:ascii="Times New Roman" w:hAnsi="Times New Roman" w:cs="Times New Roman"/>
          <w:sz w:val="24"/>
          <w:szCs w:val="24"/>
          <w:lang w:val="en-CA"/>
        </w:rPr>
        <w:t xml:space="preserve"> </w:t>
      </w:r>
      <w:r w:rsidRPr="00D80934">
        <w:rPr>
          <w:rFonts w:ascii="Times New Roman" w:hAnsi="Times New Roman" w:cs="Times New Roman"/>
          <w:sz w:val="24"/>
          <w:szCs w:val="24"/>
          <w:lang w:val="en-CA"/>
        </w:rPr>
        <w:t>has clearly qualified</w:t>
      </w:r>
      <w:r>
        <w:rPr>
          <w:rFonts w:ascii="Times New Roman" w:hAnsi="Times New Roman" w:cs="Times New Roman"/>
          <w:sz w:val="24"/>
          <w:szCs w:val="24"/>
          <w:lang w:val="en-CA"/>
        </w:rPr>
        <w:t xml:space="preserve"> the prohibition of place as a police measure</w:t>
      </w:r>
      <w:r w:rsidR="006C4404">
        <w:rPr>
          <w:rFonts w:ascii="Times New Roman" w:hAnsi="Times New Roman" w:cs="Times New Roman"/>
          <w:sz w:val="24"/>
          <w:szCs w:val="24"/>
          <w:lang w:val="en-CA"/>
        </w:rPr>
        <w:t xml:space="preserve">, since the prohibition is </w:t>
      </w:r>
      <w:r w:rsidR="00B4548A">
        <w:rPr>
          <w:rFonts w:ascii="Times New Roman" w:hAnsi="Times New Roman" w:cs="Times New Roman"/>
          <w:sz w:val="24"/>
          <w:szCs w:val="24"/>
          <w:lang w:val="en-CA"/>
        </w:rPr>
        <w:t>being</w:t>
      </w:r>
      <w:r w:rsidR="00B4548A" w:rsidRPr="00C76610">
        <w:rPr>
          <w:rFonts w:ascii="Times New Roman" w:hAnsi="Times New Roman" w:cs="Times New Roman"/>
          <w:sz w:val="24"/>
          <w:szCs w:val="24"/>
          <w:lang w:val="en-CA"/>
        </w:rPr>
        <w:t xml:space="preserve"> </w:t>
      </w:r>
      <w:r w:rsidR="00FF389C" w:rsidRPr="00C76610">
        <w:rPr>
          <w:rFonts w:ascii="Times New Roman" w:hAnsi="Times New Roman" w:cs="Times New Roman"/>
          <w:sz w:val="24"/>
          <w:szCs w:val="24"/>
          <w:lang w:val="en-CA"/>
        </w:rPr>
        <w:t>imposed ‘to safeguard public order’</w:t>
      </w:r>
      <w:r w:rsidR="00FF389C">
        <w:rPr>
          <w:rStyle w:val="Odwoanieprzypisudolnego"/>
          <w:rFonts w:ascii="Times New Roman" w:hAnsi="Times New Roman" w:cs="Times New Roman"/>
          <w:sz w:val="24"/>
          <w:szCs w:val="24"/>
          <w:lang w:val="en-CA"/>
        </w:rPr>
        <w:footnoteReference w:id="41"/>
      </w:r>
      <w:r w:rsidR="00E71BA2">
        <w:rPr>
          <w:rFonts w:ascii="Times New Roman" w:hAnsi="Times New Roman" w:cs="Times New Roman"/>
          <w:sz w:val="24"/>
          <w:szCs w:val="24"/>
          <w:lang w:val="en-CA"/>
        </w:rPr>
        <w:t xml:space="preserve">, without the necessity of an offence </w:t>
      </w:r>
      <w:r w:rsidR="0023283B">
        <w:rPr>
          <w:rFonts w:ascii="Times New Roman" w:hAnsi="Times New Roman" w:cs="Times New Roman"/>
          <w:sz w:val="24"/>
          <w:szCs w:val="24"/>
          <w:lang w:val="en-CA"/>
        </w:rPr>
        <w:t xml:space="preserve">that has </w:t>
      </w:r>
      <w:r w:rsidR="00E71BA2">
        <w:rPr>
          <w:rFonts w:ascii="Times New Roman" w:hAnsi="Times New Roman" w:cs="Times New Roman"/>
          <w:sz w:val="24"/>
          <w:szCs w:val="24"/>
          <w:lang w:val="en-CA"/>
        </w:rPr>
        <w:t xml:space="preserve">already </w:t>
      </w:r>
      <w:r w:rsidR="00B4548A">
        <w:rPr>
          <w:rFonts w:ascii="Times New Roman" w:hAnsi="Times New Roman" w:cs="Times New Roman"/>
          <w:sz w:val="24"/>
          <w:szCs w:val="24"/>
          <w:lang w:val="en-CA"/>
        </w:rPr>
        <w:t xml:space="preserve">been </w:t>
      </w:r>
      <w:r w:rsidR="00E71BA2">
        <w:rPr>
          <w:rFonts w:ascii="Times New Roman" w:hAnsi="Times New Roman" w:cs="Times New Roman"/>
          <w:sz w:val="24"/>
          <w:szCs w:val="24"/>
          <w:lang w:val="en-CA"/>
        </w:rPr>
        <w:t>committed. Thus, the prohibition of place</w:t>
      </w:r>
      <w:r w:rsidR="00FF389C">
        <w:rPr>
          <w:rFonts w:ascii="Times New Roman" w:hAnsi="Times New Roman" w:cs="Times New Roman"/>
          <w:sz w:val="24"/>
          <w:szCs w:val="24"/>
          <w:lang w:val="en-CA"/>
        </w:rPr>
        <w:t xml:space="preserve"> </w:t>
      </w:r>
      <w:r w:rsidR="00E71BA2">
        <w:rPr>
          <w:rFonts w:ascii="Times New Roman" w:hAnsi="Times New Roman" w:cs="Times New Roman"/>
          <w:sz w:val="24"/>
          <w:szCs w:val="24"/>
          <w:lang w:val="en-CA"/>
        </w:rPr>
        <w:t>mainly aims</w:t>
      </w:r>
      <w:r w:rsidR="00FF389C">
        <w:rPr>
          <w:rFonts w:ascii="Times New Roman" w:hAnsi="Times New Roman" w:cs="Times New Roman"/>
          <w:sz w:val="24"/>
          <w:szCs w:val="24"/>
          <w:lang w:val="en-CA"/>
        </w:rPr>
        <w:t xml:space="preserve"> </w:t>
      </w:r>
      <w:r w:rsidR="006C4404">
        <w:rPr>
          <w:rFonts w:ascii="Times New Roman" w:hAnsi="Times New Roman" w:cs="Times New Roman"/>
          <w:sz w:val="24"/>
          <w:szCs w:val="24"/>
          <w:lang w:val="en-CA"/>
        </w:rPr>
        <w:t xml:space="preserve">to </w:t>
      </w:r>
      <w:r w:rsidR="006C4404">
        <w:rPr>
          <w:rFonts w:ascii="Times New Roman" w:hAnsi="Times New Roman" w:cs="Times New Roman"/>
          <w:sz w:val="24"/>
          <w:szCs w:val="24"/>
          <w:lang w:val="en-CA"/>
        </w:rPr>
        <w:lastRenderedPageBreak/>
        <w:t>maintain</w:t>
      </w:r>
      <w:r w:rsidR="00FF389C">
        <w:rPr>
          <w:rFonts w:ascii="Times New Roman" w:hAnsi="Times New Roman" w:cs="Times New Roman"/>
          <w:sz w:val="24"/>
          <w:szCs w:val="24"/>
          <w:lang w:val="en-CA"/>
        </w:rPr>
        <w:t xml:space="preserve"> public order instead of punishing </w:t>
      </w:r>
      <w:r w:rsidR="00E71BA2">
        <w:rPr>
          <w:rFonts w:ascii="Times New Roman" w:hAnsi="Times New Roman" w:cs="Times New Roman"/>
          <w:sz w:val="24"/>
          <w:szCs w:val="24"/>
          <w:lang w:val="en-CA"/>
        </w:rPr>
        <w:t xml:space="preserve">the offender </w:t>
      </w:r>
      <w:r w:rsidR="00FF389C">
        <w:rPr>
          <w:rFonts w:ascii="Times New Roman" w:hAnsi="Times New Roman" w:cs="Times New Roman"/>
          <w:sz w:val="24"/>
          <w:szCs w:val="24"/>
          <w:lang w:val="en-CA"/>
        </w:rPr>
        <w:t>for past actions</w:t>
      </w:r>
      <w:r>
        <w:rPr>
          <w:rStyle w:val="Odwoanieprzypisudolnego"/>
          <w:rFonts w:ascii="Times New Roman" w:hAnsi="Times New Roman" w:cs="Times New Roman"/>
          <w:sz w:val="24"/>
          <w:szCs w:val="24"/>
        </w:rPr>
        <w:footnoteReference w:id="42"/>
      </w:r>
      <w:r>
        <w:rPr>
          <w:rFonts w:ascii="Times New Roman" w:hAnsi="Times New Roman" w:cs="Times New Roman"/>
          <w:sz w:val="24"/>
          <w:szCs w:val="24"/>
          <w:lang w:val="en-CA"/>
        </w:rPr>
        <w:t xml:space="preserve">. This </w:t>
      </w:r>
      <w:r w:rsidR="00E71BA2">
        <w:rPr>
          <w:rFonts w:ascii="Times New Roman" w:hAnsi="Times New Roman" w:cs="Times New Roman"/>
          <w:sz w:val="24"/>
          <w:szCs w:val="24"/>
          <w:lang w:val="en-CA"/>
        </w:rPr>
        <w:t xml:space="preserve">legal </w:t>
      </w:r>
      <w:r>
        <w:rPr>
          <w:rFonts w:ascii="Times New Roman" w:hAnsi="Times New Roman" w:cs="Times New Roman"/>
          <w:sz w:val="24"/>
          <w:szCs w:val="24"/>
          <w:lang w:val="en-CA"/>
        </w:rPr>
        <w:t xml:space="preserve">classification </w:t>
      </w:r>
      <w:r w:rsidRPr="00884B78">
        <w:rPr>
          <w:rFonts w:ascii="Times New Roman" w:hAnsi="Times New Roman" w:cs="Times New Roman"/>
          <w:sz w:val="24"/>
          <w:szCs w:val="24"/>
          <w:lang w:val="en-CA"/>
        </w:rPr>
        <w:t xml:space="preserve">was questioned </w:t>
      </w:r>
      <w:r>
        <w:rPr>
          <w:rFonts w:ascii="Times New Roman" w:hAnsi="Times New Roman" w:cs="Times New Roman"/>
          <w:sz w:val="24"/>
          <w:szCs w:val="24"/>
          <w:lang w:val="en-CA"/>
        </w:rPr>
        <w:t xml:space="preserve">before the Belgian Constitutional Court </w:t>
      </w:r>
      <w:r w:rsidRPr="00884B78">
        <w:rPr>
          <w:rFonts w:ascii="Times New Roman" w:hAnsi="Times New Roman" w:cs="Times New Roman"/>
          <w:sz w:val="24"/>
          <w:szCs w:val="24"/>
          <w:lang w:val="en-CA"/>
        </w:rPr>
        <w:t>by the ‘</w:t>
      </w:r>
      <w:r w:rsidR="006C4404">
        <w:rPr>
          <w:rFonts w:ascii="Times New Roman" w:hAnsi="Times New Roman" w:cs="Times New Roman"/>
          <w:sz w:val="24"/>
          <w:szCs w:val="24"/>
          <w:lang w:val="en-CA"/>
        </w:rPr>
        <w:t>Human Rights Leag</w:t>
      </w:r>
      <w:r w:rsidR="00DD74F2">
        <w:rPr>
          <w:rFonts w:ascii="Times New Roman" w:hAnsi="Times New Roman" w:cs="Times New Roman"/>
          <w:sz w:val="24"/>
          <w:szCs w:val="24"/>
          <w:lang w:val="en-CA"/>
        </w:rPr>
        <w:t>u</w:t>
      </w:r>
      <w:r w:rsidR="006C4404">
        <w:rPr>
          <w:rFonts w:ascii="Times New Roman" w:hAnsi="Times New Roman" w:cs="Times New Roman"/>
          <w:sz w:val="24"/>
          <w:szCs w:val="24"/>
          <w:lang w:val="en-CA"/>
        </w:rPr>
        <w:t>e’</w:t>
      </w:r>
      <w:r w:rsidR="00DD74F2">
        <w:rPr>
          <w:rFonts w:ascii="Times New Roman" w:hAnsi="Times New Roman" w:cs="Times New Roman"/>
          <w:sz w:val="24"/>
          <w:szCs w:val="24"/>
          <w:lang w:val="en-CA"/>
        </w:rPr>
        <w:t xml:space="preserve"> – this is a </w:t>
      </w:r>
      <w:r w:rsidR="00DD74F2">
        <w:rPr>
          <w:rFonts w:ascii="Times New Roman" w:hAnsi="Times New Roman" w:cs="Times New Roman"/>
          <w:sz w:val="24"/>
          <w:szCs w:val="24"/>
          <w:lang w:val="en-US"/>
        </w:rPr>
        <w:t>non-governmental organisation that aims to tackle</w:t>
      </w:r>
      <w:r w:rsidR="00DD74F2" w:rsidRPr="00E611E1">
        <w:rPr>
          <w:rFonts w:ascii="Times New Roman" w:hAnsi="Times New Roman" w:cs="Times New Roman"/>
          <w:sz w:val="24"/>
          <w:szCs w:val="24"/>
          <w:lang w:val="en-US"/>
        </w:rPr>
        <w:t xml:space="preserve"> injustices and any attack on the </w:t>
      </w:r>
      <w:r w:rsidR="00DD74F2">
        <w:rPr>
          <w:rFonts w:ascii="Times New Roman" w:hAnsi="Times New Roman" w:cs="Times New Roman"/>
          <w:sz w:val="24"/>
          <w:szCs w:val="24"/>
          <w:lang w:val="en-US"/>
        </w:rPr>
        <w:t xml:space="preserve">individual’s fundamental </w:t>
      </w:r>
      <w:r w:rsidR="00DD74F2" w:rsidRPr="00E611E1">
        <w:rPr>
          <w:rFonts w:ascii="Times New Roman" w:hAnsi="Times New Roman" w:cs="Times New Roman"/>
          <w:sz w:val="24"/>
          <w:szCs w:val="24"/>
          <w:lang w:val="en-US"/>
        </w:rPr>
        <w:t xml:space="preserve">rights </w:t>
      </w:r>
      <w:r w:rsidR="00DD74F2">
        <w:rPr>
          <w:rFonts w:ascii="Times New Roman" w:hAnsi="Times New Roman" w:cs="Times New Roman"/>
          <w:sz w:val="24"/>
          <w:szCs w:val="24"/>
          <w:lang w:val="en-US"/>
        </w:rPr>
        <w:t>and freedoms</w:t>
      </w:r>
      <w:r>
        <w:rPr>
          <w:rFonts w:ascii="Times New Roman" w:hAnsi="Times New Roman" w:cs="Times New Roman"/>
          <w:sz w:val="24"/>
          <w:szCs w:val="24"/>
          <w:lang w:val="en-CA"/>
        </w:rPr>
        <w:t>, but the Court confirmed th</w:t>
      </w:r>
      <w:r w:rsidR="00E71BA2">
        <w:rPr>
          <w:rFonts w:ascii="Times New Roman" w:hAnsi="Times New Roman" w:cs="Times New Roman"/>
          <w:sz w:val="24"/>
          <w:szCs w:val="24"/>
          <w:lang w:val="en-CA"/>
        </w:rPr>
        <w:t>is</w:t>
      </w:r>
      <w:r>
        <w:rPr>
          <w:rFonts w:ascii="Times New Roman" w:hAnsi="Times New Roman" w:cs="Times New Roman"/>
          <w:sz w:val="24"/>
          <w:szCs w:val="24"/>
          <w:lang w:val="en-CA"/>
        </w:rPr>
        <w:t xml:space="preserve"> classification</w:t>
      </w:r>
      <w:r>
        <w:rPr>
          <w:rStyle w:val="Odwoanieprzypisudolnego"/>
          <w:rFonts w:ascii="Times New Roman" w:hAnsi="Times New Roman" w:cs="Times New Roman"/>
          <w:sz w:val="24"/>
          <w:szCs w:val="24"/>
          <w:lang w:val="en-CA"/>
        </w:rPr>
        <w:footnoteReference w:id="43"/>
      </w:r>
      <w:r w:rsidRPr="003871EB">
        <w:rPr>
          <w:rFonts w:ascii="Times New Roman" w:hAnsi="Times New Roman" w:cs="Times New Roman"/>
          <w:sz w:val="24"/>
          <w:szCs w:val="24"/>
          <w:lang w:val="en-CA"/>
        </w:rPr>
        <w:t xml:space="preserve">. </w:t>
      </w:r>
      <w:r w:rsidRPr="00D80934">
        <w:rPr>
          <w:rFonts w:ascii="Times New Roman" w:hAnsi="Times New Roman" w:cs="Times New Roman"/>
          <w:sz w:val="24"/>
          <w:szCs w:val="24"/>
          <w:lang w:val="en-CA"/>
        </w:rPr>
        <w:t xml:space="preserve">However, this does not </w:t>
      </w:r>
      <w:r>
        <w:rPr>
          <w:rFonts w:ascii="Times New Roman" w:hAnsi="Times New Roman" w:cs="Times New Roman"/>
          <w:sz w:val="24"/>
          <w:szCs w:val="24"/>
          <w:lang w:val="en-CA"/>
        </w:rPr>
        <w:t>p</w:t>
      </w:r>
      <w:r w:rsidRPr="00D80934">
        <w:rPr>
          <w:rFonts w:ascii="Times New Roman" w:hAnsi="Times New Roman" w:cs="Times New Roman"/>
          <w:sz w:val="24"/>
          <w:szCs w:val="24"/>
          <w:lang w:val="en-CA"/>
        </w:rPr>
        <w:t xml:space="preserve">revent the </w:t>
      </w:r>
      <w:r w:rsidRPr="00DB0217">
        <w:rPr>
          <w:rFonts w:ascii="Times New Roman" w:hAnsi="Times New Roman" w:cs="Times New Roman"/>
          <w:sz w:val="24"/>
          <w:szCs w:val="24"/>
          <w:lang w:val="en-CA"/>
        </w:rPr>
        <w:t>Council</w:t>
      </w:r>
      <w:r>
        <w:rPr>
          <w:rFonts w:ascii="Times New Roman" w:hAnsi="Times New Roman" w:cs="Times New Roman"/>
          <w:sz w:val="24"/>
          <w:szCs w:val="24"/>
          <w:lang w:val="en-CA"/>
        </w:rPr>
        <w:t xml:space="preserve"> of </w:t>
      </w:r>
      <w:r w:rsidRPr="00D80934">
        <w:rPr>
          <w:rFonts w:ascii="Times New Roman" w:hAnsi="Times New Roman" w:cs="Times New Roman"/>
          <w:sz w:val="24"/>
          <w:szCs w:val="24"/>
          <w:lang w:val="en-CA"/>
        </w:rPr>
        <w:t xml:space="preserve">State </w:t>
      </w:r>
      <w:r>
        <w:rPr>
          <w:rFonts w:ascii="Times New Roman" w:hAnsi="Times New Roman" w:cs="Times New Roman"/>
          <w:sz w:val="24"/>
          <w:szCs w:val="24"/>
          <w:lang w:val="en-CA"/>
        </w:rPr>
        <w:t xml:space="preserve">from deciding in a particular case </w:t>
      </w:r>
      <w:r w:rsidRPr="00D80934">
        <w:rPr>
          <w:rFonts w:ascii="Times New Roman" w:hAnsi="Times New Roman" w:cs="Times New Roman"/>
          <w:sz w:val="24"/>
          <w:szCs w:val="24"/>
          <w:lang w:val="en-CA"/>
        </w:rPr>
        <w:t xml:space="preserve">that </w:t>
      </w:r>
      <w:r>
        <w:rPr>
          <w:rFonts w:ascii="Times New Roman" w:hAnsi="Times New Roman" w:cs="Times New Roman"/>
          <w:sz w:val="24"/>
          <w:szCs w:val="24"/>
          <w:lang w:val="en-CA"/>
        </w:rPr>
        <w:t xml:space="preserve">the </w:t>
      </w:r>
      <w:r w:rsidR="00E71BA2">
        <w:rPr>
          <w:rFonts w:ascii="Times New Roman" w:hAnsi="Times New Roman" w:cs="Times New Roman"/>
          <w:sz w:val="24"/>
          <w:szCs w:val="24"/>
          <w:lang w:val="en-CA"/>
        </w:rPr>
        <w:t>contested</w:t>
      </w:r>
      <w:r>
        <w:rPr>
          <w:rFonts w:ascii="Times New Roman" w:hAnsi="Times New Roman" w:cs="Times New Roman"/>
          <w:sz w:val="24"/>
          <w:szCs w:val="24"/>
          <w:lang w:val="en-CA"/>
        </w:rPr>
        <w:t xml:space="preserve"> prohibition of place is</w:t>
      </w:r>
      <w:r w:rsidRPr="00D80934">
        <w:rPr>
          <w:rFonts w:ascii="Times New Roman" w:hAnsi="Times New Roman" w:cs="Times New Roman"/>
          <w:sz w:val="24"/>
          <w:szCs w:val="24"/>
          <w:lang w:val="en-CA"/>
        </w:rPr>
        <w:t xml:space="preserve"> in reality </w:t>
      </w:r>
      <w:r>
        <w:rPr>
          <w:rFonts w:ascii="Times New Roman" w:hAnsi="Times New Roman" w:cs="Times New Roman"/>
          <w:sz w:val="24"/>
          <w:szCs w:val="24"/>
          <w:lang w:val="en-CA"/>
        </w:rPr>
        <w:t>imposed as a</w:t>
      </w:r>
      <w:r w:rsidRPr="00D80934">
        <w:rPr>
          <w:rFonts w:ascii="Times New Roman" w:hAnsi="Times New Roman" w:cs="Times New Roman"/>
          <w:sz w:val="24"/>
          <w:szCs w:val="24"/>
          <w:lang w:val="en-CA"/>
        </w:rPr>
        <w:t xml:space="preserve">n administrative </w:t>
      </w:r>
      <w:r>
        <w:rPr>
          <w:rFonts w:ascii="Times New Roman" w:hAnsi="Times New Roman" w:cs="Times New Roman"/>
          <w:sz w:val="24"/>
          <w:szCs w:val="24"/>
          <w:lang w:val="en-CA"/>
        </w:rPr>
        <w:t>sanction</w:t>
      </w:r>
      <w:r w:rsidR="00183F7B">
        <w:rPr>
          <w:rFonts w:ascii="Times New Roman" w:hAnsi="Times New Roman" w:cs="Times New Roman"/>
          <w:sz w:val="24"/>
          <w:szCs w:val="24"/>
          <w:lang w:val="en-CA"/>
        </w:rPr>
        <w:t xml:space="preserve">, </w:t>
      </w:r>
      <w:r w:rsidRPr="00183F7B">
        <w:rPr>
          <w:rFonts w:ascii="Times New Roman" w:hAnsi="Times New Roman" w:cs="Times New Roman"/>
          <w:sz w:val="24"/>
          <w:szCs w:val="24"/>
          <w:lang w:val="en-CA"/>
        </w:rPr>
        <w:t>since it aims to hurt the offender for the infringements that he or she committed in a certain public area. This will be the case when, for</w:t>
      </w:r>
      <w:r w:rsidRPr="001E7268">
        <w:rPr>
          <w:rFonts w:ascii="Times New Roman" w:hAnsi="Times New Roman" w:cs="Times New Roman"/>
          <w:sz w:val="24"/>
          <w:szCs w:val="24"/>
          <w:lang w:val="en-CA"/>
        </w:rPr>
        <w:t xml:space="preserve"> instance, the reasoning of the decision imposing the </w:t>
      </w:r>
      <w:r w:rsidRPr="00183F7B">
        <w:rPr>
          <w:rFonts w:ascii="Times New Roman" w:hAnsi="Times New Roman" w:cs="Times New Roman"/>
          <w:sz w:val="24"/>
          <w:szCs w:val="24"/>
          <w:lang w:val="en-CA"/>
        </w:rPr>
        <w:t xml:space="preserve">prohibition of place does not sufficiently indicate its preventive </w:t>
      </w:r>
      <w:r w:rsidR="00755B1E" w:rsidRPr="00183F7B">
        <w:rPr>
          <w:rFonts w:ascii="Times New Roman" w:hAnsi="Times New Roman" w:cs="Times New Roman"/>
          <w:sz w:val="24"/>
          <w:szCs w:val="24"/>
          <w:lang w:val="en-CA"/>
        </w:rPr>
        <w:t>nature</w:t>
      </w:r>
      <w:r w:rsidRPr="00183F7B">
        <w:rPr>
          <w:rStyle w:val="Odwoanieprzypisudolnego"/>
          <w:rFonts w:ascii="Times New Roman" w:hAnsi="Times New Roman" w:cs="Times New Roman"/>
          <w:sz w:val="24"/>
          <w:szCs w:val="24"/>
          <w:lang w:val="en-CA"/>
        </w:rPr>
        <w:footnoteReference w:id="44"/>
      </w:r>
      <w:r w:rsidRPr="00183F7B">
        <w:rPr>
          <w:rFonts w:ascii="Times New Roman" w:hAnsi="Times New Roman" w:cs="Times New Roman"/>
          <w:sz w:val="24"/>
          <w:szCs w:val="24"/>
          <w:lang w:val="en-CA"/>
        </w:rPr>
        <w:t>.</w:t>
      </w:r>
      <w:r w:rsidR="00183F7B" w:rsidRPr="00183F7B">
        <w:rPr>
          <w:rFonts w:ascii="Times New Roman" w:hAnsi="Times New Roman" w:cs="Times New Roman"/>
          <w:sz w:val="24"/>
          <w:szCs w:val="24"/>
          <w:lang w:val="en-CA"/>
        </w:rPr>
        <w:t xml:space="preserve"> Moreover</w:t>
      </w:r>
      <w:r w:rsidR="005D0422" w:rsidRPr="00183F7B">
        <w:rPr>
          <w:rFonts w:ascii="Times New Roman" w:hAnsi="Times New Roman" w:cs="Times New Roman"/>
          <w:sz w:val="24"/>
          <w:szCs w:val="24"/>
          <w:lang w:val="en-CA"/>
        </w:rPr>
        <w:t xml:space="preserve">, </w:t>
      </w:r>
      <w:r w:rsidR="00183F7B" w:rsidRPr="00183F7B">
        <w:rPr>
          <w:rFonts w:ascii="Times New Roman" w:hAnsi="Times New Roman" w:cs="Times New Roman"/>
          <w:sz w:val="24"/>
          <w:szCs w:val="24"/>
          <w:lang w:val="en-CA"/>
        </w:rPr>
        <w:t xml:space="preserve">the imposed prohibition of place </w:t>
      </w:r>
      <w:r w:rsidR="006C4404">
        <w:rPr>
          <w:rFonts w:ascii="Times New Roman" w:hAnsi="Times New Roman" w:cs="Times New Roman"/>
          <w:sz w:val="24"/>
          <w:szCs w:val="24"/>
          <w:lang w:val="en-CA"/>
        </w:rPr>
        <w:t>may</w:t>
      </w:r>
      <w:r w:rsidR="00183F7B" w:rsidRPr="00183F7B">
        <w:rPr>
          <w:rFonts w:ascii="Times New Roman" w:hAnsi="Times New Roman" w:cs="Times New Roman"/>
          <w:sz w:val="24"/>
          <w:szCs w:val="24"/>
          <w:lang w:val="en-CA"/>
        </w:rPr>
        <w:t xml:space="preserve"> be so punitive in nature that it must be regarded as a criminal charge</w:t>
      </w:r>
      <w:r w:rsidR="0082081D">
        <w:rPr>
          <w:rFonts w:ascii="Times New Roman" w:hAnsi="Times New Roman" w:cs="Times New Roman"/>
          <w:sz w:val="24"/>
          <w:szCs w:val="24"/>
          <w:lang w:val="en-CA"/>
        </w:rPr>
        <w:t>,</w:t>
      </w:r>
      <w:r w:rsidR="00183F7B" w:rsidRPr="00183F7B">
        <w:rPr>
          <w:rFonts w:ascii="Times New Roman" w:hAnsi="Times New Roman" w:cs="Times New Roman"/>
          <w:sz w:val="24"/>
          <w:szCs w:val="24"/>
          <w:lang w:val="en-CA"/>
        </w:rPr>
        <w:t xml:space="preserve"> in l</w:t>
      </w:r>
      <w:r w:rsidR="00D71A1F">
        <w:rPr>
          <w:rFonts w:ascii="Times New Roman" w:hAnsi="Times New Roman" w:cs="Times New Roman"/>
          <w:sz w:val="24"/>
          <w:szCs w:val="24"/>
          <w:lang w:val="en-CA"/>
        </w:rPr>
        <w:t xml:space="preserve">ine with the </w:t>
      </w:r>
      <w:r w:rsidR="0082081D">
        <w:rPr>
          <w:rFonts w:ascii="Times New Roman" w:hAnsi="Times New Roman" w:cs="Times New Roman"/>
          <w:sz w:val="24"/>
          <w:szCs w:val="24"/>
          <w:lang w:val="en-CA"/>
        </w:rPr>
        <w:t xml:space="preserve">above-mentioned </w:t>
      </w:r>
      <w:r w:rsidR="00D71A1F">
        <w:rPr>
          <w:rFonts w:ascii="Times New Roman" w:hAnsi="Times New Roman" w:cs="Times New Roman"/>
          <w:sz w:val="24"/>
          <w:szCs w:val="24"/>
          <w:lang w:val="en-CA"/>
        </w:rPr>
        <w:t xml:space="preserve">Strasbourg Court’s </w:t>
      </w:r>
      <w:r w:rsidR="00183F7B" w:rsidRPr="00183F7B">
        <w:rPr>
          <w:rFonts w:ascii="Times New Roman" w:hAnsi="Times New Roman" w:cs="Times New Roman"/>
          <w:sz w:val="24"/>
          <w:szCs w:val="24"/>
          <w:lang w:val="en-CA"/>
        </w:rPr>
        <w:t xml:space="preserve">case law. </w:t>
      </w:r>
      <w:r w:rsidR="00183F7B">
        <w:rPr>
          <w:rFonts w:ascii="Times New Roman" w:hAnsi="Times New Roman" w:cs="Times New Roman"/>
          <w:sz w:val="24"/>
          <w:szCs w:val="24"/>
          <w:lang w:val="en-CA"/>
        </w:rPr>
        <w:t>In addition, i</w:t>
      </w:r>
      <w:r w:rsidR="005D0422" w:rsidRPr="005D0422">
        <w:rPr>
          <w:rFonts w:ascii="Times New Roman" w:hAnsi="Times New Roman" w:cs="Times New Roman"/>
          <w:sz w:val="24"/>
          <w:szCs w:val="24"/>
          <w:lang w:val="en-CA"/>
        </w:rPr>
        <w:t xml:space="preserve">t </w:t>
      </w:r>
      <w:r w:rsidR="006C4404">
        <w:rPr>
          <w:rFonts w:ascii="Times New Roman" w:hAnsi="Times New Roman" w:cs="Times New Roman"/>
          <w:sz w:val="24"/>
          <w:szCs w:val="24"/>
          <w:lang w:val="en-CA"/>
        </w:rPr>
        <w:t>may</w:t>
      </w:r>
      <w:r w:rsidR="005D0422" w:rsidRPr="005D0422">
        <w:rPr>
          <w:rFonts w:ascii="Times New Roman" w:hAnsi="Times New Roman" w:cs="Times New Roman"/>
          <w:sz w:val="24"/>
          <w:szCs w:val="24"/>
          <w:lang w:val="en-CA"/>
        </w:rPr>
        <w:t xml:space="preserve"> </w:t>
      </w:r>
      <w:r w:rsidR="00183F7B">
        <w:rPr>
          <w:rFonts w:ascii="Times New Roman" w:hAnsi="Times New Roman" w:cs="Times New Roman"/>
          <w:sz w:val="24"/>
          <w:szCs w:val="24"/>
          <w:lang w:val="en-CA"/>
        </w:rPr>
        <w:t xml:space="preserve">even </w:t>
      </w:r>
      <w:r w:rsidR="005D0422" w:rsidRPr="005D0422">
        <w:rPr>
          <w:rFonts w:ascii="Times New Roman" w:hAnsi="Times New Roman" w:cs="Times New Roman"/>
          <w:sz w:val="24"/>
          <w:szCs w:val="24"/>
          <w:lang w:val="en-CA"/>
        </w:rPr>
        <w:t xml:space="preserve">be possible that the Council of State considers in a particular case that </w:t>
      </w:r>
      <w:r w:rsidR="005D0422" w:rsidRPr="00183F7B">
        <w:rPr>
          <w:rFonts w:ascii="Times New Roman" w:hAnsi="Times New Roman" w:cs="Times New Roman"/>
          <w:sz w:val="24"/>
          <w:szCs w:val="24"/>
          <w:lang w:val="en-CA"/>
        </w:rPr>
        <w:t xml:space="preserve">the prohibition of place </w:t>
      </w:r>
      <w:r w:rsidR="00147FD1">
        <w:rPr>
          <w:rFonts w:ascii="Times New Roman" w:hAnsi="Times New Roman" w:cs="Times New Roman"/>
          <w:sz w:val="24"/>
          <w:szCs w:val="24"/>
          <w:lang w:val="en-CA"/>
        </w:rPr>
        <w:t xml:space="preserve">must be regarded as </w:t>
      </w:r>
      <w:r w:rsidR="002A094F" w:rsidRPr="00183F7B">
        <w:rPr>
          <w:rFonts w:ascii="Times New Roman" w:hAnsi="Times New Roman" w:cs="Times New Roman"/>
          <w:sz w:val="24"/>
          <w:szCs w:val="24"/>
          <w:lang w:val="en-CA"/>
        </w:rPr>
        <w:t xml:space="preserve">civil within the meaning of </w:t>
      </w:r>
      <w:r w:rsidR="00571696">
        <w:rPr>
          <w:rFonts w:ascii="Times New Roman" w:hAnsi="Times New Roman" w:cs="Times New Roman"/>
          <w:sz w:val="24"/>
          <w:szCs w:val="24"/>
          <w:lang w:val="en-CA"/>
        </w:rPr>
        <w:t>Article</w:t>
      </w:r>
      <w:r w:rsidR="002A094F" w:rsidRPr="00183F7B">
        <w:rPr>
          <w:rFonts w:ascii="Times New Roman" w:hAnsi="Times New Roman" w:cs="Times New Roman"/>
          <w:sz w:val="24"/>
          <w:szCs w:val="24"/>
          <w:lang w:val="en-CA"/>
        </w:rPr>
        <w:t xml:space="preserve"> 6 ECHR</w:t>
      </w:r>
      <w:r w:rsidR="0082081D">
        <w:rPr>
          <w:rFonts w:ascii="Times New Roman" w:hAnsi="Times New Roman" w:cs="Times New Roman"/>
          <w:sz w:val="24"/>
          <w:szCs w:val="24"/>
          <w:lang w:val="en-CA"/>
        </w:rPr>
        <w:t>, as discussed above</w:t>
      </w:r>
      <w:r w:rsidR="00183F7B">
        <w:rPr>
          <w:rFonts w:ascii="Times New Roman" w:hAnsi="Times New Roman" w:cs="Times New Roman"/>
          <w:sz w:val="24"/>
          <w:szCs w:val="24"/>
          <w:lang w:val="en-CA"/>
        </w:rPr>
        <w:t>.</w:t>
      </w:r>
    </w:p>
    <w:p w14:paraId="488C2893" w14:textId="565A2EF9" w:rsidR="00014836" w:rsidRDefault="000F22DA" w:rsidP="000B36F9">
      <w:pPr>
        <w:pStyle w:val="Tekstkomentarza"/>
        <w:spacing w:line="276" w:lineRule="auto"/>
        <w:jc w:val="both"/>
        <w:rPr>
          <w:rFonts w:ascii="Times New Roman" w:hAnsi="Times New Roman" w:cs="Times New Roman"/>
          <w:sz w:val="24"/>
          <w:szCs w:val="24"/>
          <w:lang w:val="en-CA"/>
        </w:rPr>
      </w:pPr>
      <w:r w:rsidRPr="005A0ED4">
        <w:rPr>
          <w:rFonts w:ascii="Times New Roman" w:hAnsi="Times New Roman" w:cs="Times New Roman"/>
          <w:sz w:val="24"/>
          <w:szCs w:val="24"/>
          <w:lang w:val="en-US"/>
        </w:rPr>
        <w:t xml:space="preserve">Contrary to Belgium, the United Kingdom does not formally acknowledge the distinction between </w:t>
      </w:r>
      <w:r w:rsidR="008049D6" w:rsidRPr="005A0ED4">
        <w:rPr>
          <w:rFonts w:ascii="Times New Roman" w:hAnsi="Times New Roman" w:cs="Times New Roman"/>
          <w:sz w:val="24"/>
          <w:szCs w:val="24"/>
          <w:lang w:val="en-US"/>
        </w:rPr>
        <w:t xml:space="preserve">‘administrative sanctions’ </w:t>
      </w:r>
      <w:r w:rsidR="00DD2BD8">
        <w:rPr>
          <w:rFonts w:ascii="Times New Roman" w:hAnsi="Times New Roman" w:cs="Times New Roman"/>
          <w:sz w:val="24"/>
          <w:szCs w:val="24"/>
          <w:lang w:val="en-US"/>
        </w:rPr>
        <w:t xml:space="preserve">and </w:t>
      </w:r>
      <w:r w:rsidRPr="005A0ED4">
        <w:rPr>
          <w:rFonts w:ascii="Times New Roman" w:hAnsi="Times New Roman" w:cs="Times New Roman"/>
          <w:sz w:val="24"/>
          <w:szCs w:val="24"/>
          <w:lang w:val="en-US"/>
        </w:rPr>
        <w:t xml:space="preserve">‘preventive measures’ with regard to the legal classification of public order </w:t>
      </w:r>
      <w:r w:rsidR="008049D6">
        <w:rPr>
          <w:rFonts w:ascii="Times New Roman" w:hAnsi="Times New Roman" w:cs="Times New Roman"/>
          <w:sz w:val="24"/>
          <w:szCs w:val="24"/>
          <w:lang w:val="en-US"/>
        </w:rPr>
        <w:t>powers</w:t>
      </w:r>
      <w:r w:rsidRPr="005A0ED4">
        <w:rPr>
          <w:rFonts w:ascii="Times New Roman" w:hAnsi="Times New Roman" w:cs="Times New Roman"/>
          <w:sz w:val="24"/>
          <w:szCs w:val="24"/>
          <w:lang w:val="en-US"/>
        </w:rPr>
        <w:t>, depending on the nature of the imposed technique</w:t>
      </w:r>
      <w:r w:rsidRPr="005A0ED4">
        <w:rPr>
          <w:rStyle w:val="Odwoanieprzypisudolnego"/>
          <w:rFonts w:ascii="Times New Roman" w:hAnsi="Times New Roman" w:cs="Times New Roman"/>
          <w:sz w:val="24"/>
          <w:szCs w:val="24"/>
          <w:lang w:val="en-US"/>
        </w:rPr>
        <w:footnoteReference w:id="45"/>
      </w:r>
      <w:r w:rsidRPr="005A0ED4">
        <w:rPr>
          <w:rFonts w:ascii="Times New Roman" w:hAnsi="Times New Roman" w:cs="Times New Roman"/>
          <w:sz w:val="24"/>
          <w:szCs w:val="24"/>
          <w:lang w:val="en-US"/>
        </w:rPr>
        <w:t xml:space="preserve">. In general, in the United Kingdom, techniques to tackle problematic behaviour are considered to be </w:t>
      </w:r>
      <w:r w:rsidRPr="005A0ED4">
        <w:rPr>
          <w:rFonts w:ascii="Times New Roman" w:hAnsi="Times New Roman" w:cs="Times New Roman"/>
          <w:i/>
          <w:sz w:val="24"/>
          <w:szCs w:val="24"/>
          <w:lang w:val="en-US"/>
        </w:rPr>
        <w:t>civil</w:t>
      </w:r>
      <w:r w:rsidRPr="005A0ED4">
        <w:rPr>
          <w:rFonts w:ascii="Times New Roman" w:hAnsi="Times New Roman" w:cs="Times New Roman"/>
          <w:sz w:val="24"/>
          <w:szCs w:val="24"/>
          <w:lang w:val="en-US"/>
        </w:rPr>
        <w:t xml:space="preserve"> orders, i.e. </w:t>
      </w:r>
      <w:r w:rsidR="005732C0">
        <w:rPr>
          <w:rFonts w:ascii="Times New Roman" w:hAnsi="Times New Roman" w:cs="Times New Roman"/>
          <w:sz w:val="24"/>
          <w:szCs w:val="24"/>
          <w:lang w:val="en-US"/>
        </w:rPr>
        <w:t xml:space="preserve">orders </w:t>
      </w:r>
      <w:r w:rsidRPr="005A0ED4">
        <w:rPr>
          <w:rFonts w:ascii="Times New Roman" w:hAnsi="Times New Roman" w:cs="Times New Roman"/>
          <w:sz w:val="24"/>
          <w:szCs w:val="24"/>
          <w:lang w:val="en-US"/>
        </w:rPr>
        <w:t>where t</w:t>
      </w:r>
      <w:r w:rsidRPr="005A0ED4">
        <w:rPr>
          <w:rFonts w:ascii="Times New Roman" w:hAnsi="Times New Roman" w:cs="Times New Roman"/>
          <w:sz w:val="24"/>
          <w:szCs w:val="24"/>
          <w:lang w:val="en-CA"/>
        </w:rPr>
        <w:t xml:space="preserve">he nature of the proceedings followed </w:t>
      </w:r>
      <w:r w:rsidR="005732C0">
        <w:rPr>
          <w:rFonts w:ascii="Times New Roman" w:hAnsi="Times New Roman" w:cs="Times New Roman"/>
          <w:sz w:val="24"/>
          <w:szCs w:val="24"/>
          <w:lang w:val="en-CA"/>
        </w:rPr>
        <w:t>by the competent authorit</w:t>
      </w:r>
      <w:r w:rsidR="00A6722E">
        <w:rPr>
          <w:rFonts w:ascii="Times New Roman" w:hAnsi="Times New Roman" w:cs="Times New Roman"/>
          <w:sz w:val="24"/>
          <w:szCs w:val="24"/>
          <w:lang w:val="en-CA"/>
        </w:rPr>
        <w:t xml:space="preserve">y </w:t>
      </w:r>
      <w:r w:rsidRPr="005A0ED4">
        <w:rPr>
          <w:rFonts w:ascii="Times New Roman" w:hAnsi="Times New Roman" w:cs="Times New Roman"/>
          <w:sz w:val="24"/>
          <w:szCs w:val="24"/>
          <w:lang w:val="en-CA"/>
        </w:rPr>
        <w:t>is civil and not criminal, since it is not necessary that a crime has been committed</w:t>
      </w:r>
      <w:r w:rsidR="0000658B">
        <w:rPr>
          <w:rStyle w:val="Odwoanieprzypisudolnego"/>
          <w:rFonts w:ascii="Times New Roman" w:hAnsi="Times New Roman" w:cs="Times New Roman"/>
          <w:sz w:val="24"/>
          <w:szCs w:val="24"/>
          <w:lang w:val="en-CA"/>
        </w:rPr>
        <w:footnoteReference w:id="46"/>
      </w:r>
      <w:r w:rsidR="001F5CF2" w:rsidRPr="001F5CF2">
        <w:rPr>
          <w:rFonts w:ascii="Times New Roman" w:hAnsi="Times New Roman" w:cs="Times New Roman"/>
          <w:sz w:val="24"/>
          <w:szCs w:val="24"/>
          <w:lang w:val="en-CA"/>
        </w:rPr>
        <w:t>.</w:t>
      </w:r>
      <w:r w:rsidR="0000658B">
        <w:rPr>
          <w:rFonts w:ascii="Times New Roman" w:hAnsi="Times New Roman" w:cs="Times New Roman"/>
          <w:sz w:val="24"/>
          <w:szCs w:val="24"/>
          <w:lang w:val="en-CA"/>
        </w:rPr>
        <w:t xml:space="preserve"> The new direction to leave, f</w:t>
      </w:r>
      <w:r w:rsidR="00743608">
        <w:rPr>
          <w:rFonts w:ascii="Times New Roman" w:hAnsi="Times New Roman" w:cs="Times New Roman"/>
          <w:sz w:val="24"/>
          <w:szCs w:val="24"/>
          <w:lang w:val="en-CA"/>
        </w:rPr>
        <w:t xml:space="preserve">or instance, </w:t>
      </w:r>
      <w:r w:rsidR="0000658B">
        <w:rPr>
          <w:rFonts w:ascii="Times New Roman" w:hAnsi="Times New Roman" w:cs="Times New Roman"/>
          <w:sz w:val="24"/>
          <w:szCs w:val="24"/>
          <w:lang w:val="en-CA"/>
        </w:rPr>
        <w:t>mu</w:t>
      </w:r>
      <w:r w:rsidR="00743608">
        <w:rPr>
          <w:rFonts w:ascii="Times New Roman" w:hAnsi="Times New Roman" w:cs="Times New Roman"/>
          <w:sz w:val="24"/>
          <w:szCs w:val="24"/>
          <w:lang w:val="en-CA"/>
        </w:rPr>
        <w:t xml:space="preserve">st be regarded as </w:t>
      </w:r>
      <w:r w:rsidR="0000658B">
        <w:rPr>
          <w:rFonts w:ascii="Times New Roman" w:hAnsi="Times New Roman" w:cs="Times New Roman"/>
          <w:sz w:val="24"/>
          <w:szCs w:val="24"/>
          <w:lang w:val="en-CA"/>
        </w:rPr>
        <w:t xml:space="preserve">civil, since </w:t>
      </w:r>
      <w:r w:rsidR="00743608" w:rsidRPr="009A05A8">
        <w:rPr>
          <w:rFonts w:ascii="Times New Roman" w:hAnsi="Times New Roman" w:cs="Times New Roman"/>
          <w:color w:val="000000"/>
          <w:sz w:val="24"/>
          <w:szCs w:val="24"/>
          <w:shd w:val="clear" w:color="auto" w:fill="FFFFFF"/>
          <w:lang w:val="en-US"/>
        </w:rPr>
        <w:t>t</w:t>
      </w:r>
      <w:r w:rsidR="0000658B">
        <w:rPr>
          <w:rFonts w:ascii="Times New Roman" w:hAnsi="Times New Roman" w:cs="Times New Roman"/>
          <w:color w:val="000000"/>
          <w:sz w:val="24"/>
          <w:szCs w:val="24"/>
          <w:shd w:val="clear" w:color="auto" w:fill="FFFFFF"/>
          <w:lang w:val="en-US"/>
        </w:rPr>
        <w:t xml:space="preserve">he </w:t>
      </w:r>
      <w:r w:rsidR="00743608">
        <w:rPr>
          <w:rFonts w:ascii="Times New Roman" w:hAnsi="Times New Roman" w:cs="Times New Roman"/>
          <w:sz w:val="24"/>
          <w:szCs w:val="24"/>
          <w:lang w:val="en-US"/>
        </w:rPr>
        <w:t>imposition of it</w:t>
      </w:r>
      <w:r w:rsidR="00743608" w:rsidRPr="000B36F9">
        <w:rPr>
          <w:rFonts w:ascii="Times New Roman" w:hAnsi="Times New Roman" w:cs="Times New Roman"/>
          <w:sz w:val="24"/>
          <w:szCs w:val="24"/>
          <w:lang w:val="en-US"/>
        </w:rPr>
        <w:t xml:space="preserve"> </w:t>
      </w:r>
      <w:r w:rsidR="00743608">
        <w:rPr>
          <w:rFonts w:ascii="Times New Roman" w:hAnsi="Times New Roman" w:cs="Times New Roman"/>
          <w:sz w:val="24"/>
          <w:szCs w:val="24"/>
          <w:lang w:val="en-US"/>
        </w:rPr>
        <w:t>does not require a criminal offence</w:t>
      </w:r>
      <w:r w:rsidR="0000658B">
        <w:rPr>
          <w:rStyle w:val="Odwoanieprzypisudolnego"/>
          <w:rFonts w:ascii="Times New Roman" w:hAnsi="Times New Roman" w:cs="Times New Roman"/>
          <w:sz w:val="24"/>
          <w:szCs w:val="24"/>
          <w:lang w:val="en-US"/>
        </w:rPr>
        <w:footnoteReference w:id="47"/>
      </w:r>
      <w:r w:rsidR="00743608">
        <w:rPr>
          <w:rFonts w:ascii="Times New Roman" w:hAnsi="Times New Roman" w:cs="Times New Roman"/>
          <w:sz w:val="24"/>
          <w:szCs w:val="24"/>
          <w:lang w:val="en-US"/>
        </w:rPr>
        <w:t xml:space="preserve">. Moreover, </w:t>
      </w:r>
      <w:r w:rsidR="00743608">
        <w:rPr>
          <w:rFonts w:ascii="Times New Roman" w:hAnsi="Times New Roman" w:cs="Times New Roman"/>
          <w:sz w:val="24"/>
          <w:szCs w:val="24"/>
          <w:lang w:val="en-CA"/>
        </w:rPr>
        <w:t>an offence is not even necessary at all</w:t>
      </w:r>
      <w:r w:rsidR="00743608">
        <w:rPr>
          <w:rFonts w:ascii="Times New Roman" w:hAnsi="Times New Roman" w:cs="Times New Roman"/>
          <w:sz w:val="24"/>
          <w:szCs w:val="24"/>
          <w:lang w:val="en-US"/>
        </w:rPr>
        <w:t xml:space="preserve">. The direction to leave </w:t>
      </w:r>
      <w:r w:rsidR="00743608" w:rsidRPr="000B36F9">
        <w:rPr>
          <w:rFonts w:ascii="Times New Roman" w:hAnsi="Times New Roman" w:cs="Times New Roman"/>
          <w:sz w:val="24"/>
          <w:szCs w:val="24"/>
          <w:lang w:val="en-US"/>
        </w:rPr>
        <w:t xml:space="preserve">can already be imposed </w:t>
      </w:r>
      <w:r w:rsidR="00743608">
        <w:rPr>
          <w:rFonts w:ascii="Times New Roman" w:hAnsi="Times New Roman" w:cs="Times New Roman"/>
          <w:sz w:val="24"/>
          <w:szCs w:val="24"/>
          <w:lang w:val="en-US"/>
        </w:rPr>
        <w:t>when</w:t>
      </w:r>
      <w:r w:rsidR="00743608" w:rsidRPr="000B36F9">
        <w:rPr>
          <w:rFonts w:ascii="Times New Roman" w:hAnsi="Times New Roman" w:cs="Times New Roman"/>
          <w:color w:val="000000"/>
          <w:sz w:val="24"/>
          <w:szCs w:val="24"/>
          <w:shd w:val="clear" w:color="auto" w:fill="FFFFFF"/>
          <w:lang w:val="en-US"/>
        </w:rPr>
        <w:t xml:space="preserve"> </w:t>
      </w:r>
      <w:r w:rsidR="00743608" w:rsidRPr="000B36F9">
        <w:rPr>
          <w:rFonts w:ascii="Times New Roman" w:hAnsi="Times New Roman" w:cs="Times New Roman"/>
          <w:sz w:val="24"/>
          <w:szCs w:val="24"/>
          <w:lang w:val="en-US"/>
        </w:rPr>
        <w:t>problematic</w:t>
      </w:r>
      <w:r w:rsidR="00743608" w:rsidRPr="001069E0">
        <w:rPr>
          <w:rFonts w:ascii="Times New Roman" w:hAnsi="Times New Roman" w:cs="Times New Roman"/>
          <w:sz w:val="24"/>
          <w:szCs w:val="24"/>
          <w:lang w:val="en-US"/>
        </w:rPr>
        <w:t xml:space="preserve"> behaviour is </w:t>
      </w:r>
      <w:r w:rsidR="00743608" w:rsidRPr="001069E0">
        <w:rPr>
          <w:rFonts w:ascii="Times New Roman" w:hAnsi="Times New Roman" w:cs="Times New Roman"/>
          <w:i/>
          <w:sz w:val="24"/>
          <w:szCs w:val="24"/>
          <w:lang w:val="en-US"/>
        </w:rPr>
        <w:t>likely to be committed</w:t>
      </w:r>
      <w:r w:rsidR="00743608" w:rsidRPr="001069E0">
        <w:rPr>
          <w:rFonts w:ascii="Times New Roman" w:hAnsi="Times New Roman" w:cs="Times New Roman"/>
          <w:color w:val="000000"/>
          <w:sz w:val="24"/>
          <w:szCs w:val="24"/>
          <w:shd w:val="clear" w:color="auto" w:fill="FFFFFF"/>
          <w:lang w:val="en-US"/>
        </w:rPr>
        <w:t xml:space="preserve">, </w:t>
      </w:r>
      <w:r w:rsidR="00743608">
        <w:rPr>
          <w:rFonts w:ascii="Times New Roman" w:hAnsi="Times New Roman" w:cs="Times New Roman"/>
          <w:color w:val="000000"/>
          <w:sz w:val="24"/>
          <w:szCs w:val="24"/>
          <w:shd w:val="clear" w:color="auto" w:fill="FFFFFF"/>
          <w:lang w:val="en-US"/>
        </w:rPr>
        <w:t xml:space="preserve">without the requirement of </w:t>
      </w:r>
      <w:r w:rsidR="00743608" w:rsidRPr="001069E0">
        <w:rPr>
          <w:rFonts w:ascii="Times New Roman" w:hAnsi="Times New Roman" w:cs="Times New Roman"/>
          <w:color w:val="000000"/>
          <w:sz w:val="24"/>
          <w:szCs w:val="24"/>
          <w:shd w:val="clear" w:color="auto" w:fill="FFFFFF"/>
          <w:lang w:val="en-US"/>
        </w:rPr>
        <w:t xml:space="preserve">problematic behaviour </w:t>
      </w:r>
      <w:r w:rsidR="00743608">
        <w:rPr>
          <w:rFonts w:ascii="Times New Roman" w:hAnsi="Times New Roman" w:cs="Times New Roman"/>
          <w:color w:val="000000"/>
          <w:sz w:val="24"/>
          <w:szCs w:val="24"/>
          <w:shd w:val="clear" w:color="auto" w:fill="FFFFFF"/>
          <w:lang w:val="en-US"/>
        </w:rPr>
        <w:t xml:space="preserve">that </w:t>
      </w:r>
      <w:r w:rsidR="00743608" w:rsidRPr="001069E0">
        <w:rPr>
          <w:rFonts w:ascii="Times New Roman" w:hAnsi="Times New Roman" w:cs="Times New Roman"/>
          <w:color w:val="000000"/>
          <w:sz w:val="24"/>
          <w:szCs w:val="24"/>
          <w:shd w:val="clear" w:color="auto" w:fill="FFFFFF"/>
          <w:lang w:val="en-US"/>
        </w:rPr>
        <w:t xml:space="preserve">has </w:t>
      </w:r>
      <w:r w:rsidR="00743608">
        <w:rPr>
          <w:rFonts w:ascii="Times New Roman" w:hAnsi="Times New Roman" w:cs="Times New Roman"/>
          <w:color w:val="000000"/>
          <w:sz w:val="24"/>
          <w:szCs w:val="24"/>
          <w:shd w:val="clear" w:color="auto" w:fill="FFFFFF"/>
          <w:lang w:val="en-US"/>
        </w:rPr>
        <w:t xml:space="preserve">already </w:t>
      </w:r>
      <w:r w:rsidR="00743608" w:rsidRPr="001069E0">
        <w:rPr>
          <w:rFonts w:ascii="Times New Roman" w:hAnsi="Times New Roman" w:cs="Times New Roman"/>
          <w:color w:val="000000"/>
          <w:sz w:val="24"/>
          <w:szCs w:val="24"/>
          <w:shd w:val="clear" w:color="auto" w:fill="FFFFFF"/>
          <w:lang w:val="en-US"/>
        </w:rPr>
        <w:t>been committed</w:t>
      </w:r>
      <w:r w:rsidR="00743608">
        <w:rPr>
          <w:rFonts w:ascii="Times New Roman" w:hAnsi="Times New Roman" w:cs="Times New Roman"/>
          <w:color w:val="000000"/>
          <w:sz w:val="24"/>
          <w:szCs w:val="24"/>
          <w:shd w:val="clear" w:color="auto" w:fill="FFFFFF"/>
          <w:lang w:val="en-US"/>
        </w:rPr>
        <w:t>, criminal or not</w:t>
      </w:r>
      <w:r w:rsidR="00743608">
        <w:rPr>
          <w:rStyle w:val="Odwoanieprzypisudolnego"/>
          <w:rFonts w:ascii="Times New Roman" w:hAnsi="Times New Roman" w:cs="Times New Roman"/>
          <w:color w:val="000000"/>
          <w:sz w:val="24"/>
          <w:szCs w:val="24"/>
          <w:shd w:val="clear" w:color="auto" w:fill="FFFFFF"/>
          <w:lang w:val="en-US"/>
        </w:rPr>
        <w:footnoteReference w:id="48"/>
      </w:r>
      <w:r w:rsidR="00743608" w:rsidRPr="001069E0">
        <w:rPr>
          <w:rFonts w:ascii="Times New Roman" w:hAnsi="Times New Roman" w:cs="Times New Roman"/>
          <w:sz w:val="24"/>
          <w:szCs w:val="24"/>
          <w:lang w:val="en-US"/>
        </w:rPr>
        <w:t>.</w:t>
      </w:r>
      <w:r w:rsidR="00743608">
        <w:rPr>
          <w:rFonts w:ascii="Times New Roman" w:hAnsi="Times New Roman" w:cs="Times New Roman"/>
          <w:sz w:val="24"/>
          <w:szCs w:val="24"/>
          <w:lang w:val="en-US"/>
        </w:rPr>
        <w:t xml:space="preserve"> </w:t>
      </w:r>
      <w:r w:rsidR="00AA4E46">
        <w:rPr>
          <w:rFonts w:ascii="Times New Roman" w:hAnsi="Times New Roman" w:cs="Times New Roman"/>
          <w:sz w:val="24"/>
          <w:szCs w:val="24"/>
          <w:lang w:val="en-US"/>
        </w:rPr>
        <w:t>Thus, the direction to leave can be regarded as a civil order with a more preventive purpose, primarily aiming at tackling future problematic behaviour instead of sanctioning an individual for past actions</w:t>
      </w:r>
      <w:r w:rsidR="00AA4E46">
        <w:rPr>
          <w:rStyle w:val="Odwoanieprzypisudolnego"/>
          <w:rFonts w:ascii="Times New Roman" w:hAnsi="Times New Roman" w:cs="Times New Roman"/>
          <w:sz w:val="24"/>
          <w:szCs w:val="24"/>
          <w:lang w:val="en-US"/>
        </w:rPr>
        <w:footnoteReference w:id="49"/>
      </w:r>
      <w:r w:rsidR="00AA4E46">
        <w:rPr>
          <w:rFonts w:ascii="Times New Roman" w:hAnsi="Times New Roman" w:cs="Times New Roman"/>
          <w:sz w:val="24"/>
          <w:szCs w:val="24"/>
          <w:lang w:val="en-US"/>
        </w:rPr>
        <w:t>.</w:t>
      </w:r>
      <w:r w:rsidR="003E6195">
        <w:rPr>
          <w:rFonts w:ascii="Times New Roman" w:hAnsi="Times New Roman" w:cs="Times New Roman"/>
          <w:sz w:val="24"/>
          <w:szCs w:val="24"/>
          <w:lang w:val="en-US"/>
        </w:rPr>
        <w:t xml:space="preserve"> </w:t>
      </w:r>
      <w:r w:rsidR="00743608">
        <w:rPr>
          <w:rFonts w:ascii="Times New Roman" w:hAnsi="Times New Roman" w:cs="Times New Roman"/>
          <w:sz w:val="24"/>
          <w:szCs w:val="24"/>
          <w:lang w:val="en-US"/>
        </w:rPr>
        <w:t>It is important to note</w:t>
      </w:r>
      <w:r w:rsidR="003E6195">
        <w:rPr>
          <w:rFonts w:ascii="Times New Roman" w:hAnsi="Times New Roman" w:cs="Times New Roman"/>
          <w:sz w:val="24"/>
          <w:szCs w:val="24"/>
          <w:lang w:val="en-US"/>
        </w:rPr>
        <w:t>, however,</w:t>
      </w:r>
      <w:r w:rsidR="00743608">
        <w:rPr>
          <w:rFonts w:ascii="Times New Roman" w:hAnsi="Times New Roman" w:cs="Times New Roman"/>
          <w:sz w:val="24"/>
          <w:szCs w:val="24"/>
          <w:lang w:val="en-US"/>
        </w:rPr>
        <w:t xml:space="preserve"> that this does not mean that the direction to leave cannot be imposed as a reaction to the individual’s past </w:t>
      </w:r>
      <w:r w:rsidR="00743608" w:rsidRPr="0099761E">
        <w:rPr>
          <w:rFonts w:ascii="Times New Roman" w:hAnsi="Times New Roman" w:cs="Times New Roman"/>
          <w:sz w:val="24"/>
          <w:szCs w:val="24"/>
          <w:lang w:val="en-US"/>
        </w:rPr>
        <w:lastRenderedPageBreak/>
        <w:t>actions</w:t>
      </w:r>
      <w:r w:rsidR="00743608">
        <w:rPr>
          <w:rFonts w:ascii="Times New Roman" w:hAnsi="Times New Roman" w:cs="Times New Roman"/>
          <w:sz w:val="24"/>
          <w:szCs w:val="24"/>
          <w:lang w:val="en-US"/>
        </w:rPr>
        <w:t>. After all, s</w:t>
      </w:r>
      <w:r w:rsidR="00743608" w:rsidRPr="0099761E">
        <w:rPr>
          <w:rFonts w:ascii="Times New Roman" w:hAnsi="Times New Roman" w:cs="Times New Roman"/>
          <w:sz w:val="24"/>
          <w:szCs w:val="24"/>
          <w:lang w:val="en-US"/>
        </w:rPr>
        <w:t xml:space="preserve">ection 35(2) ACPA also refers to </w:t>
      </w:r>
      <w:r w:rsidR="00743608" w:rsidRPr="0099761E">
        <w:rPr>
          <w:rFonts w:ascii="Times New Roman" w:hAnsi="Times New Roman" w:cs="Times New Roman"/>
          <w:color w:val="000000"/>
          <w:sz w:val="24"/>
          <w:szCs w:val="24"/>
          <w:shd w:val="clear" w:color="auto" w:fill="FFFFFF"/>
          <w:lang w:val="en-CA"/>
        </w:rPr>
        <w:t xml:space="preserve">the </w:t>
      </w:r>
      <w:r w:rsidR="00743608">
        <w:rPr>
          <w:rFonts w:ascii="Times New Roman" w:hAnsi="Times New Roman" w:cs="Times New Roman"/>
          <w:color w:val="000000"/>
          <w:sz w:val="24"/>
          <w:szCs w:val="24"/>
          <w:shd w:val="clear" w:color="auto" w:fill="FFFFFF"/>
          <w:lang w:val="en-CA"/>
        </w:rPr>
        <w:t xml:space="preserve">possibility to impose the direction in attempts to tackle </w:t>
      </w:r>
      <w:r w:rsidR="00743608" w:rsidRPr="0099761E">
        <w:rPr>
          <w:rFonts w:ascii="Times New Roman" w:hAnsi="Times New Roman" w:cs="Times New Roman"/>
          <w:color w:val="000000"/>
          <w:sz w:val="24"/>
          <w:szCs w:val="24"/>
          <w:shd w:val="clear" w:color="auto" w:fill="FFFFFF"/>
          <w:lang w:val="en-CA"/>
        </w:rPr>
        <w:t xml:space="preserve">problematic behaviour to which the individual </w:t>
      </w:r>
      <w:r w:rsidR="00743608" w:rsidRPr="0099761E">
        <w:rPr>
          <w:rFonts w:ascii="Times New Roman" w:hAnsi="Times New Roman" w:cs="Times New Roman"/>
          <w:i/>
          <w:color w:val="000000"/>
          <w:sz w:val="24"/>
          <w:szCs w:val="24"/>
          <w:shd w:val="clear" w:color="auto" w:fill="FFFFFF"/>
          <w:lang w:val="en-CA"/>
        </w:rPr>
        <w:t xml:space="preserve">has already </w:t>
      </w:r>
      <w:r w:rsidR="00743608">
        <w:rPr>
          <w:rFonts w:ascii="Times New Roman" w:hAnsi="Times New Roman" w:cs="Times New Roman"/>
          <w:i/>
          <w:color w:val="000000"/>
          <w:sz w:val="24"/>
          <w:szCs w:val="24"/>
          <w:shd w:val="clear" w:color="auto" w:fill="FFFFFF"/>
          <w:lang w:val="en-CA"/>
        </w:rPr>
        <w:t>contributed</w:t>
      </w:r>
      <w:r w:rsidR="003E6195">
        <w:rPr>
          <w:rFonts w:ascii="Times New Roman" w:hAnsi="Times New Roman" w:cs="Times New Roman"/>
          <w:color w:val="000000"/>
          <w:sz w:val="24"/>
          <w:szCs w:val="24"/>
          <w:shd w:val="clear" w:color="auto" w:fill="FFFFFF"/>
          <w:lang w:val="en-CA"/>
        </w:rPr>
        <w:t>.</w:t>
      </w:r>
    </w:p>
    <w:p w14:paraId="08107D58" w14:textId="38918F59" w:rsidR="00932555" w:rsidRDefault="00C26025" w:rsidP="00CA03A5">
      <w:pPr>
        <w:spacing w:after="0"/>
        <w:jc w:val="both"/>
        <w:rPr>
          <w:rFonts w:ascii="Times New Roman" w:hAnsi="Times New Roman" w:cs="Times New Roman"/>
          <w:color w:val="000000"/>
          <w:sz w:val="24"/>
          <w:szCs w:val="24"/>
          <w:shd w:val="clear" w:color="auto" w:fill="FFFFFF"/>
          <w:lang w:val="en-CA"/>
        </w:rPr>
      </w:pPr>
      <w:r>
        <w:rPr>
          <w:rFonts w:ascii="Times New Roman" w:hAnsi="Times New Roman" w:cs="Times New Roman"/>
          <w:sz w:val="24"/>
          <w:szCs w:val="24"/>
          <w:lang w:val="en-CA"/>
        </w:rPr>
        <w:t>However</w:t>
      </w:r>
      <w:r w:rsidRPr="005C7464">
        <w:rPr>
          <w:rFonts w:ascii="Times New Roman" w:hAnsi="Times New Roman" w:cs="Times New Roman"/>
          <w:sz w:val="24"/>
          <w:szCs w:val="24"/>
          <w:lang w:val="en-CA"/>
        </w:rPr>
        <w:t xml:space="preserve">, this domestic legal classification </w:t>
      </w:r>
      <w:r w:rsidR="0000658B">
        <w:rPr>
          <w:rFonts w:ascii="Times New Roman" w:hAnsi="Times New Roman" w:cs="Times New Roman"/>
          <w:sz w:val="24"/>
          <w:szCs w:val="24"/>
          <w:lang w:val="en-CA"/>
        </w:rPr>
        <w:t xml:space="preserve">as </w:t>
      </w:r>
      <w:r>
        <w:rPr>
          <w:rFonts w:ascii="Times New Roman" w:hAnsi="Times New Roman" w:cs="Times New Roman"/>
          <w:sz w:val="24"/>
          <w:szCs w:val="24"/>
          <w:lang w:val="en-CA"/>
        </w:rPr>
        <w:t>civil, i.e.</w:t>
      </w:r>
      <w:r w:rsidR="0000658B">
        <w:rPr>
          <w:rFonts w:ascii="Times New Roman" w:hAnsi="Times New Roman" w:cs="Times New Roman"/>
          <w:sz w:val="24"/>
          <w:szCs w:val="24"/>
          <w:lang w:val="en-CA"/>
        </w:rPr>
        <w:t xml:space="preserve"> not criminal</w:t>
      </w:r>
      <w:r>
        <w:rPr>
          <w:rFonts w:ascii="Times New Roman" w:hAnsi="Times New Roman" w:cs="Times New Roman"/>
          <w:sz w:val="24"/>
          <w:szCs w:val="24"/>
          <w:lang w:val="en-CA"/>
        </w:rPr>
        <w:t xml:space="preserve">, </w:t>
      </w:r>
      <w:r w:rsidR="003E6195">
        <w:rPr>
          <w:rFonts w:ascii="Times New Roman" w:hAnsi="Times New Roman" w:cs="Times New Roman"/>
          <w:sz w:val="24"/>
          <w:szCs w:val="24"/>
          <w:lang w:val="en-CA"/>
        </w:rPr>
        <w:t>is not conclusive. It</w:t>
      </w:r>
      <w:r>
        <w:rPr>
          <w:rFonts w:ascii="Times New Roman" w:hAnsi="Times New Roman" w:cs="Times New Roman"/>
          <w:sz w:val="24"/>
          <w:szCs w:val="24"/>
          <w:lang w:val="en-CA"/>
        </w:rPr>
        <w:t xml:space="preserve"> appears from UK case law that the domestic courts, referring to the Strasbourg Court’s case law concerning </w:t>
      </w:r>
      <w:r w:rsidR="00571696">
        <w:rPr>
          <w:rFonts w:ascii="Times New Roman" w:hAnsi="Times New Roman" w:cs="Times New Roman"/>
          <w:sz w:val="24"/>
          <w:szCs w:val="24"/>
          <w:lang w:val="en-CA"/>
        </w:rPr>
        <w:t>Article</w:t>
      </w:r>
      <w:r>
        <w:rPr>
          <w:rFonts w:ascii="Times New Roman" w:hAnsi="Times New Roman" w:cs="Times New Roman"/>
          <w:sz w:val="24"/>
          <w:szCs w:val="24"/>
          <w:lang w:val="en-CA"/>
        </w:rPr>
        <w:t xml:space="preserve"> 6 ECHR</w:t>
      </w:r>
      <w:r w:rsidR="003E6195">
        <w:rPr>
          <w:rFonts w:ascii="Times New Roman" w:hAnsi="Times New Roman" w:cs="Times New Roman"/>
          <w:sz w:val="24"/>
          <w:szCs w:val="24"/>
          <w:lang w:val="en-CA"/>
        </w:rPr>
        <w:t xml:space="preserve">, </w:t>
      </w:r>
      <w:r w:rsidRPr="00805307">
        <w:rPr>
          <w:rFonts w:ascii="Times New Roman" w:hAnsi="Times New Roman" w:cs="Times New Roman"/>
          <w:color w:val="000000"/>
          <w:sz w:val="24"/>
          <w:szCs w:val="24"/>
          <w:shd w:val="clear" w:color="auto" w:fill="FFFFFF"/>
          <w:lang w:val="en-US"/>
        </w:rPr>
        <w:t>increasingly take into account the</w:t>
      </w:r>
      <w:r>
        <w:rPr>
          <w:rFonts w:ascii="Times New Roman" w:hAnsi="Times New Roman" w:cs="Times New Roman"/>
          <w:color w:val="000000"/>
          <w:sz w:val="24"/>
          <w:szCs w:val="24"/>
          <w:shd w:val="clear" w:color="auto" w:fill="FFFFFF"/>
          <w:lang w:val="en-US"/>
        </w:rPr>
        <w:t xml:space="preserve"> nature</w:t>
      </w:r>
      <w:r w:rsidRPr="005A0ED4">
        <w:rPr>
          <w:rFonts w:ascii="Times New Roman" w:hAnsi="Times New Roman" w:cs="Times New Roman"/>
          <w:color w:val="000000"/>
          <w:sz w:val="24"/>
          <w:szCs w:val="24"/>
          <w:shd w:val="clear" w:color="auto" w:fill="FFFFFF"/>
          <w:lang w:val="en-CA"/>
        </w:rPr>
        <w:t xml:space="preserve"> </w:t>
      </w:r>
      <w:r>
        <w:rPr>
          <w:rFonts w:ascii="Times New Roman" w:hAnsi="Times New Roman" w:cs="Times New Roman"/>
          <w:color w:val="000000"/>
          <w:sz w:val="24"/>
          <w:szCs w:val="24"/>
          <w:shd w:val="clear" w:color="auto" w:fill="FFFFFF"/>
          <w:lang w:val="en-CA"/>
        </w:rPr>
        <w:t xml:space="preserve">of the </w:t>
      </w:r>
      <w:r w:rsidR="0000658B">
        <w:rPr>
          <w:rFonts w:ascii="Times New Roman" w:hAnsi="Times New Roman" w:cs="Times New Roman"/>
          <w:color w:val="000000"/>
          <w:sz w:val="24"/>
          <w:szCs w:val="24"/>
          <w:shd w:val="clear" w:color="auto" w:fill="FFFFFF"/>
          <w:lang w:val="en-CA"/>
        </w:rPr>
        <w:t>measure</w:t>
      </w:r>
      <w:r w:rsidR="00C92AE3">
        <w:rPr>
          <w:rFonts w:ascii="Times New Roman" w:hAnsi="Times New Roman" w:cs="Times New Roman"/>
          <w:color w:val="000000"/>
          <w:sz w:val="24"/>
          <w:szCs w:val="24"/>
          <w:shd w:val="clear" w:color="auto" w:fill="FFFFFF"/>
          <w:lang w:val="en-CA"/>
        </w:rPr>
        <w:t xml:space="preserve"> imposed</w:t>
      </w:r>
      <w:r w:rsidR="00D71A1F" w:rsidRPr="005A0ED4">
        <w:rPr>
          <w:rStyle w:val="Odwoanieprzypisudolnego"/>
          <w:rFonts w:ascii="Times New Roman" w:hAnsi="Times New Roman" w:cs="Times New Roman"/>
          <w:color w:val="000000"/>
          <w:sz w:val="24"/>
          <w:szCs w:val="24"/>
          <w:shd w:val="clear" w:color="auto" w:fill="FFFFFF"/>
          <w:lang w:val="en-CA"/>
        </w:rPr>
        <w:footnoteReference w:id="50"/>
      </w:r>
      <w:r w:rsidR="00D71A1F">
        <w:rPr>
          <w:rFonts w:ascii="Times New Roman" w:hAnsi="Times New Roman" w:cs="Times New Roman"/>
          <w:color w:val="000000"/>
          <w:sz w:val="24"/>
          <w:szCs w:val="24"/>
          <w:shd w:val="clear" w:color="auto" w:fill="FFFFFF"/>
          <w:lang w:val="en-CA"/>
        </w:rPr>
        <w:t xml:space="preserve"> in order</w:t>
      </w:r>
      <w:r>
        <w:rPr>
          <w:rFonts w:ascii="Times New Roman" w:hAnsi="Times New Roman" w:cs="Times New Roman"/>
          <w:color w:val="000000"/>
          <w:sz w:val="24"/>
          <w:szCs w:val="24"/>
          <w:shd w:val="clear" w:color="auto" w:fill="FFFFFF"/>
          <w:lang w:val="en-CA"/>
        </w:rPr>
        <w:t xml:space="preserve"> to appropriately classify th</w:t>
      </w:r>
      <w:r w:rsidR="00D71A1F">
        <w:rPr>
          <w:rFonts w:ascii="Times New Roman" w:hAnsi="Times New Roman" w:cs="Times New Roman"/>
          <w:color w:val="000000"/>
          <w:sz w:val="24"/>
          <w:szCs w:val="24"/>
          <w:shd w:val="clear" w:color="auto" w:fill="FFFFFF"/>
          <w:lang w:val="en-CA"/>
        </w:rPr>
        <w:t>at</w:t>
      </w:r>
      <w:r>
        <w:rPr>
          <w:rFonts w:ascii="Times New Roman" w:hAnsi="Times New Roman" w:cs="Times New Roman"/>
          <w:color w:val="000000"/>
          <w:sz w:val="24"/>
          <w:szCs w:val="24"/>
          <w:shd w:val="clear" w:color="auto" w:fill="FFFFFF"/>
          <w:lang w:val="en-CA"/>
        </w:rPr>
        <w:t xml:space="preserve"> </w:t>
      </w:r>
      <w:r w:rsidR="0000658B">
        <w:rPr>
          <w:rFonts w:ascii="Times New Roman" w:hAnsi="Times New Roman" w:cs="Times New Roman"/>
          <w:color w:val="000000"/>
          <w:sz w:val="24"/>
          <w:szCs w:val="24"/>
          <w:shd w:val="clear" w:color="auto" w:fill="FFFFFF"/>
          <w:lang w:val="en-CA"/>
        </w:rPr>
        <w:t>measure</w:t>
      </w:r>
      <w:r>
        <w:rPr>
          <w:rFonts w:ascii="Times New Roman" w:hAnsi="Times New Roman" w:cs="Times New Roman"/>
          <w:color w:val="000000"/>
          <w:sz w:val="24"/>
          <w:szCs w:val="24"/>
          <w:shd w:val="clear" w:color="auto" w:fill="FFFFFF"/>
          <w:lang w:val="en-CA"/>
        </w:rPr>
        <w:t xml:space="preserve"> </w:t>
      </w:r>
      <w:r w:rsidR="003E6195">
        <w:rPr>
          <w:rFonts w:ascii="Times New Roman" w:hAnsi="Times New Roman" w:cs="Times New Roman"/>
          <w:color w:val="000000"/>
          <w:sz w:val="24"/>
          <w:szCs w:val="24"/>
          <w:shd w:val="clear" w:color="auto" w:fill="FFFFFF"/>
          <w:lang w:val="en-CA"/>
        </w:rPr>
        <w:t>as criminal or not</w:t>
      </w:r>
      <w:r w:rsidR="00C92AE3">
        <w:rPr>
          <w:rFonts w:ascii="Times New Roman" w:hAnsi="Times New Roman" w:cs="Times New Roman"/>
          <w:color w:val="000000"/>
          <w:sz w:val="24"/>
          <w:szCs w:val="24"/>
          <w:shd w:val="clear" w:color="auto" w:fill="FFFFFF"/>
          <w:lang w:val="en-CA"/>
        </w:rPr>
        <w:t xml:space="preserve"> within the meaning of Article 6</w:t>
      </w:r>
      <w:r w:rsidR="00D71A1F">
        <w:rPr>
          <w:rStyle w:val="Odwoanieprzypisudolnego"/>
          <w:rFonts w:ascii="Times New Roman" w:hAnsi="Times New Roman" w:cs="Times New Roman"/>
          <w:color w:val="000000"/>
          <w:sz w:val="24"/>
          <w:szCs w:val="24"/>
          <w:shd w:val="clear" w:color="auto" w:fill="FFFFFF"/>
          <w:lang w:val="en-CA"/>
        </w:rPr>
        <w:footnoteReference w:id="51"/>
      </w:r>
      <w:r w:rsidR="00D71A1F" w:rsidRPr="005A0ED4">
        <w:rPr>
          <w:rFonts w:ascii="Times New Roman" w:hAnsi="Times New Roman" w:cs="Times New Roman"/>
          <w:color w:val="000000"/>
          <w:sz w:val="24"/>
          <w:szCs w:val="24"/>
          <w:shd w:val="clear" w:color="auto" w:fill="FFFFFF"/>
          <w:lang w:val="en-CA"/>
        </w:rPr>
        <w:t>.</w:t>
      </w:r>
      <w:r w:rsidR="004223E9">
        <w:rPr>
          <w:rFonts w:ascii="Times New Roman" w:hAnsi="Times New Roman" w:cs="Times New Roman"/>
          <w:color w:val="000000"/>
          <w:sz w:val="24"/>
          <w:szCs w:val="24"/>
          <w:shd w:val="clear" w:color="auto" w:fill="FFFFFF"/>
          <w:lang w:val="en-CA"/>
        </w:rPr>
        <w:t xml:space="preserve"> </w:t>
      </w:r>
      <w:r w:rsidR="0000658B">
        <w:rPr>
          <w:rFonts w:ascii="Times New Roman" w:hAnsi="Times New Roman" w:cs="Times New Roman"/>
          <w:sz w:val="24"/>
          <w:szCs w:val="24"/>
          <w:lang w:val="en-CA"/>
        </w:rPr>
        <w:t xml:space="preserve">Thus, the </w:t>
      </w:r>
      <w:r w:rsidR="004223E9">
        <w:rPr>
          <w:rFonts w:ascii="Times New Roman" w:hAnsi="Times New Roman" w:cs="Times New Roman"/>
          <w:color w:val="000000"/>
          <w:sz w:val="24"/>
          <w:szCs w:val="24"/>
          <w:shd w:val="clear" w:color="auto" w:fill="FFFFFF"/>
          <w:lang w:val="en-CA"/>
        </w:rPr>
        <w:t>primarily civil</w:t>
      </w:r>
      <w:r w:rsidR="00743608">
        <w:rPr>
          <w:rFonts w:ascii="Times New Roman" w:hAnsi="Times New Roman" w:cs="Times New Roman"/>
          <w:color w:val="000000"/>
          <w:sz w:val="24"/>
          <w:szCs w:val="24"/>
          <w:shd w:val="clear" w:color="auto" w:fill="FFFFFF"/>
          <w:lang w:val="en-CA"/>
        </w:rPr>
        <w:t xml:space="preserve">, </w:t>
      </w:r>
      <w:r w:rsidR="002A094F">
        <w:rPr>
          <w:rFonts w:ascii="Times New Roman" w:hAnsi="Times New Roman" w:cs="Times New Roman"/>
          <w:color w:val="000000"/>
          <w:sz w:val="24"/>
          <w:szCs w:val="24"/>
          <w:shd w:val="clear" w:color="auto" w:fill="FFFFFF"/>
          <w:lang w:val="en-CA"/>
        </w:rPr>
        <w:t xml:space="preserve">i.e. </w:t>
      </w:r>
      <w:r w:rsidR="00743608">
        <w:rPr>
          <w:rFonts w:ascii="Times New Roman" w:hAnsi="Times New Roman" w:cs="Times New Roman"/>
          <w:color w:val="000000"/>
          <w:sz w:val="24"/>
          <w:szCs w:val="24"/>
          <w:shd w:val="clear" w:color="auto" w:fill="FFFFFF"/>
          <w:lang w:val="en-CA"/>
        </w:rPr>
        <w:t>non-criminal</w:t>
      </w:r>
      <w:r w:rsidR="004223E9">
        <w:rPr>
          <w:rFonts w:ascii="Times New Roman" w:hAnsi="Times New Roman" w:cs="Times New Roman"/>
          <w:color w:val="000000"/>
          <w:sz w:val="24"/>
          <w:szCs w:val="24"/>
          <w:shd w:val="clear" w:color="auto" w:fill="FFFFFF"/>
          <w:lang w:val="en-CA"/>
        </w:rPr>
        <w:t xml:space="preserve"> domestic</w:t>
      </w:r>
      <w:r w:rsidR="00743608">
        <w:rPr>
          <w:rFonts w:ascii="Times New Roman" w:hAnsi="Times New Roman" w:cs="Times New Roman"/>
          <w:color w:val="000000"/>
          <w:sz w:val="24"/>
          <w:szCs w:val="24"/>
          <w:shd w:val="clear" w:color="auto" w:fill="FFFFFF"/>
          <w:lang w:val="en-CA"/>
        </w:rPr>
        <w:t xml:space="preserve"> </w:t>
      </w:r>
      <w:r w:rsidR="004223E9">
        <w:rPr>
          <w:rFonts w:ascii="Times New Roman" w:hAnsi="Times New Roman" w:cs="Times New Roman"/>
          <w:color w:val="000000"/>
          <w:sz w:val="24"/>
          <w:szCs w:val="24"/>
          <w:shd w:val="clear" w:color="auto" w:fill="FFFFFF"/>
          <w:lang w:val="en-CA"/>
        </w:rPr>
        <w:t>legal classification</w:t>
      </w:r>
      <w:r w:rsidR="00743608">
        <w:rPr>
          <w:rFonts w:ascii="Times New Roman" w:hAnsi="Times New Roman" w:cs="Times New Roman"/>
          <w:color w:val="000000"/>
          <w:sz w:val="24"/>
          <w:szCs w:val="24"/>
          <w:shd w:val="clear" w:color="auto" w:fill="FFFFFF"/>
          <w:lang w:val="en-CA"/>
        </w:rPr>
        <w:t xml:space="preserve"> of the di</w:t>
      </w:r>
      <w:r w:rsidR="00014836">
        <w:rPr>
          <w:rFonts w:ascii="Times New Roman" w:hAnsi="Times New Roman" w:cs="Times New Roman"/>
          <w:color w:val="000000"/>
          <w:sz w:val="24"/>
          <w:szCs w:val="24"/>
          <w:shd w:val="clear" w:color="auto" w:fill="FFFFFF"/>
          <w:lang w:val="en-CA"/>
        </w:rPr>
        <w:t>rection to leave</w:t>
      </w:r>
      <w:r w:rsidR="00743608">
        <w:rPr>
          <w:rFonts w:ascii="Times New Roman" w:hAnsi="Times New Roman" w:cs="Times New Roman"/>
          <w:color w:val="000000"/>
          <w:sz w:val="24"/>
          <w:szCs w:val="24"/>
          <w:shd w:val="clear" w:color="auto" w:fill="FFFFFF"/>
          <w:lang w:val="en-CA"/>
        </w:rPr>
        <w:t xml:space="preserve"> does not prevent the UK courts </w:t>
      </w:r>
      <w:r w:rsidR="00AF2FE6">
        <w:rPr>
          <w:rFonts w:ascii="Times New Roman" w:hAnsi="Times New Roman" w:cs="Times New Roman"/>
          <w:color w:val="000000"/>
          <w:sz w:val="24"/>
          <w:szCs w:val="24"/>
          <w:shd w:val="clear" w:color="auto" w:fill="FFFFFF"/>
          <w:lang w:val="en-CA"/>
        </w:rPr>
        <w:t>from</w:t>
      </w:r>
      <w:r w:rsidR="00743608">
        <w:rPr>
          <w:rFonts w:ascii="Times New Roman" w:hAnsi="Times New Roman" w:cs="Times New Roman"/>
          <w:color w:val="000000"/>
          <w:sz w:val="24"/>
          <w:szCs w:val="24"/>
          <w:shd w:val="clear" w:color="auto" w:fill="FFFFFF"/>
          <w:lang w:val="en-CA"/>
        </w:rPr>
        <w:t xml:space="preserve"> consider</w:t>
      </w:r>
      <w:r w:rsidR="00AF2FE6">
        <w:rPr>
          <w:rFonts w:ascii="Times New Roman" w:hAnsi="Times New Roman" w:cs="Times New Roman"/>
          <w:color w:val="000000"/>
          <w:sz w:val="24"/>
          <w:szCs w:val="24"/>
          <w:shd w:val="clear" w:color="auto" w:fill="FFFFFF"/>
          <w:lang w:val="en-CA"/>
        </w:rPr>
        <w:t>ing</w:t>
      </w:r>
      <w:r w:rsidR="00743608">
        <w:rPr>
          <w:rFonts w:ascii="Times New Roman" w:hAnsi="Times New Roman" w:cs="Times New Roman"/>
          <w:color w:val="000000"/>
          <w:sz w:val="24"/>
          <w:szCs w:val="24"/>
          <w:shd w:val="clear" w:color="auto" w:fill="FFFFFF"/>
          <w:lang w:val="en-CA"/>
        </w:rPr>
        <w:t xml:space="preserve"> in a particular case that the imposed direction must be r</w:t>
      </w:r>
      <w:r w:rsidR="00014836">
        <w:rPr>
          <w:rFonts w:ascii="Times New Roman" w:hAnsi="Times New Roman" w:cs="Times New Roman"/>
          <w:color w:val="000000"/>
          <w:sz w:val="24"/>
          <w:szCs w:val="24"/>
          <w:shd w:val="clear" w:color="auto" w:fill="FFFFFF"/>
          <w:lang w:val="en-CA"/>
        </w:rPr>
        <w:t>egarded as a criminal charge</w:t>
      </w:r>
      <w:r w:rsidR="00D71A1F">
        <w:rPr>
          <w:rFonts w:ascii="Times New Roman" w:hAnsi="Times New Roman" w:cs="Times New Roman"/>
          <w:color w:val="000000"/>
          <w:sz w:val="24"/>
          <w:szCs w:val="24"/>
          <w:shd w:val="clear" w:color="auto" w:fill="FFFFFF"/>
          <w:lang w:val="en-CA"/>
        </w:rPr>
        <w:t>, in line with the Strasbourg Court’s case law</w:t>
      </w:r>
      <w:r w:rsidR="00014836">
        <w:rPr>
          <w:rFonts w:ascii="Times New Roman" w:hAnsi="Times New Roman" w:cs="Times New Roman"/>
          <w:color w:val="000000"/>
          <w:sz w:val="24"/>
          <w:szCs w:val="24"/>
          <w:shd w:val="clear" w:color="auto" w:fill="FFFFFF"/>
          <w:lang w:val="en-CA"/>
        </w:rPr>
        <w:t xml:space="preserve">. </w:t>
      </w:r>
    </w:p>
    <w:p w14:paraId="11BA08D6" w14:textId="77777777" w:rsidR="00932555" w:rsidRDefault="00932555" w:rsidP="00CA03A5">
      <w:pPr>
        <w:spacing w:after="0"/>
        <w:jc w:val="both"/>
        <w:rPr>
          <w:rFonts w:ascii="Times New Roman" w:hAnsi="Times New Roman" w:cs="Times New Roman"/>
          <w:color w:val="000000"/>
          <w:sz w:val="24"/>
          <w:szCs w:val="24"/>
          <w:shd w:val="clear" w:color="auto" w:fill="FFFFFF"/>
          <w:lang w:val="en-CA"/>
        </w:rPr>
      </w:pPr>
    </w:p>
    <w:p w14:paraId="693A26E9" w14:textId="77777777" w:rsidR="00CE7F17" w:rsidRDefault="00C92AE3" w:rsidP="00CA03A5">
      <w:pPr>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shd w:val="clear" w:color="auto" w:fill="FFFFFF"/>
          <w:lang w:val="en-CA"/>
        </w:rPr>
        <w:t>In addition</w:t>
      </w:r>
      <w:r w:rsidR="0000658B">
        <w:rPr>
          <w:rFonts w:ascii="Times New Roman" w:hAnsi="Times New Roman" w:cs="Times New Roman"/>
          <w:color w:val="000000"/>
          <w:sz w:val="24"/>
          <w:szCs w:val="24"/>
          <w:shd w:val="clear" w:color="auto" w:fill="FFFFFF"/>
          <w:lang w:val="en-CA"/>
        </w:rPr>
        <w:t xml:space="preserve">, the UK courts must </w:t>
      </w:r>
      <w:r w:rsidR="00D71A1F">
        <w:rPr>
          <w:rFonts w:ascii="Times New Roman" w:hAnsi="Times New Roman" w:cs="Times New Roman"/>
          <w:color w:val="000000"/>
          <w:sz w:val="24"/>
          <w:szCs w:val="24"/>
          <w:shd w:val="clear" w:color="auto" w:fill="FFFFFF"/>
          <w:lang w:val="en-CA"/>
        </w:rPr>
        <w:t xml:space="preserve">also </w:t>
      </w:r>
      <w:r w:rsidR="0000658B">
        <w:rPr>
          <w:rFonts w:ascii="Times New Roman" w:hAnsi="Times New Roman" w:cs="Times New Roman"/>
          <w:color w:val="000000"/>
          <w:sz w:val="24"/>
          <w:szCs w:val="24"/>
          <w:shd w:val="clear" w:color="auto" w:fill="FFFFFF"/>
          <w:lang w:val="en-CA"/>
        </w:rPr>
        <w:t xml:space="preserve">take into </w:t>
      </w:r>
      <w:r w:rsidR="00D71A1F">
        <w:rPr>
          <w:rFonts w:ascii="Times New Roman" w:hAnsi="Times New Roman" w:cs="Times New Roman"/>
          <w:color w:val="000000"/>
          <w:sz w:val="24"/>
          <w:szCs w:val="24"/>
          <w:shd w:val="clear" w:color="auto" w:fill="FFFFFF"/>
          <w:lang w:val="en-CA"/>
        </w:rPr>
        <w:t>account</w:t>
      </w:r>
      <w:r>
        <w:rPr>
          <w:rFonts w:ascii="Times New Roman" w:hAnsi="Times New Roman" w:cs="Times New Roman"/>
          <w:color w:val="000000"/>
          <w:sz w:val="24"/>
          <w:szCs w:val="24"/>
          <w:shd w:val="clear" w:color="auto" w:fill="FFFFFF"/>
          <w:lang w:val="en-CA"/>
        </w:rPr>
        <w:t>, in the light of Article 6,</w:t>
      </w:r>
      <w:r w:rsidR="00D71A1F">
        <w:rPr>
          <w:rFonts w:ascii="Times New Roman" w:hAnsi="Times New Roman" w:cs="Times New Roman"/>
          <w:color w:val="000000"/>
          <w:sz w:val="24"/>
          <w:szCs w:val="24"/>
          <w:shd w:val="clear" w:color="auto" w:fill="FFFFFF"/>
          <w:lang w:val="en-CA"/>
        </w:rPr>
        <w:t xml:space="preserve"> </w:t>
      </w:r>
      <w:r w:rsidR="00357DC8">
        <w:rPr>
          <w:rFonts w:ascii="Times New Roman" w:hAnsi="Times New Roman" w:cs="Times New Roman"/>
          <w:color w:val="000000"/>
          <w:sz w:val="24"/>
          <w:szCs w:val="24"/>
          <w:shd w:val="clear" w:color="auto" w:fill="FFFFFF"/>
          <w:lang w:val="en-CA"/>
        </w:rPr>
        <w:t>the</w:t>
      </w:r>
      <w:r w:rsidR="00D71A1F">
        <w:rPr>
          <w:rFonts w:ascii="Times New Roman" w:hAnsi="Times New Roman" w:cs="Times New Roman"/>
          <w:color w:val="000000"/>
          <w:sz w:val="24"/>
          <w:szCs w:val="24"/>
          <w:shd w:val="clear" w:color="auto" w:fill="FFFFFF"/>
          <w:lang w:val="en-CA"/>
        </w:rPr>
        <w:t xml:space="preserve"> distinction </w:t>
      </w:r>
      <w:r w:rsidR="00357DC8">
        <w:rPr>
          <w:rFonts w:ascii="Times New Roman" w:hAnsi="Times New Roman" w:cs="Times New Roman"/>
          <w:color w:val="000000"/>
          <w:sz w:val="24"/>
          <w:szCs w:val="24"/>
          <w:shd w:val="clear" w:color="auto" w:fill="FFFFFF"/>
          <w:lang w:val="en-CA"/>
        </w:rPr>
        <w:t xml:space="preserve">between civil and non-civil matters. The fact that the direction to leave is considered to be civil under domestic law is a starting point, but not conclusive, as discussed above. </w:t>
      </w:r>
      <w:r w:rsidR="00932555">
        <w:rPr>
          <w:rFonts w:ascii="Times New Roman" w:hAnsi="Times New Roman" w:cs="Times New Roman"/>
          <w:color w:val="000000"/>
          <w:sz w:val="24"/>
          <w:szCs w:val="24"/>
          <w:shd w:val="clear" w:color="auto" w:fill="FFFFFF"/>
          <w:lang w:val="en-CA"/>
        </w:rPr>
        <w:t>Nevertheless</w:t>
      </w:r>
      <w:r w:rsidR="00CA03A5">
        <w:rPr>
          <w:rFonts w:ascii="Times New Roman" w:hAnsi="Times New Roman" w:cs="Times New Roman"/>
          <w:color w:val="000000"/>
          <w:sz w:val="24"/>
          <w:szCs w:val="24"/>
          <w:shd w:val="clear" w:color="auto" w:fill="FFFFFF"/>
          <w:lang w:val="en-CA"/>
        </w:rPr>
        <w:t xml:space="preserve">, it might be possible that </w:t>
      </w:r>
      <w:r w:rsidR="0055634A">
        <w:rPr>
          <w:rFonts w:ascii="Times New Roman" w:hAnsi="Times New Roman" w:cs="Times New Roman"/>
          <w:color w:val="000000"/>
          <w:sz w:val="24"/>
          <w:szCs w:val="24"/>
          <w:shd w:val="clear" w:color="auto" w:fill="FFFFFF"/>
          <w:lang w:val="en-CA"/>
        </w:rPr>
        <w:t>the direction to leave must</w:t>
      </w:r>
      <w:r w:rsidR="008437AE">
        <w:rPr>
          <w:rFonts w:ascii="Times New Roman" w:hAnsi="Times New Roman" w:cs="Times New Roman"/>
          <w:color w:val="000000"/>
          <w:sz w:val="24"/>
          <w:szCs w:val="24"/>
          <w:shd w:val="clear" w:color="auto" w:fill="FFFFFF"/>
          <w:lang w:val="en-CA"/>
        </w:rPr>
        <w:t xml:space="preserve"> be </w:t>
      </w:r>
      <w:r w:rsidR="0055634A">
        <w:rPr>
          <w:rFonts w:ascii="Times New Roman" w:hAnsi="Times New Roman" w:cs="Times New Roman"/>
          <w:color w:val="000000"/>
          <w:sz w:val="24"/>
          <w:szCs w:val="24"/>
          <w:shd w:val="clear" w:color="auto" w:fill="FFFFFF"/>
          <w:lang w:val="en-CA"/>
        </w:rPr>
        <w:t>regarded</w:t>
      </w:r>
      <w:r w:rsidR="008437AE">
        <w:rPr>
          <w:rFonts w:ascii="Times New Roman" w:hAnsi="Times New Roman" w:cs="Times New Roman"/>
          <w:color w:val="000000"/>
          <w:sz w:val="24"/>
          <w:szCs w:val="24"/>
          <w:shd w:val="clear" w:color="auto" w:fill="FFFFFF"/>
          <w:lang w:val="en-CA"/>
        </w:rPr>
        <w:t xml:space="preserve"> as civil within the meaning of Article 6 ECHR, especially when interfering with other, civil rights</w:t>
      </w:r>
      <w:r w:rsidR="0055634A">
        <w:rPr>
          <w:rFonts w:ascii="Times New Roman" w:hAnsi="Times New Roman" w:cs="Times New Roman"/>
          <w:color w:val="000000"/>
          <w:sz w:val="24"/>
          <w:szCs w:val="24"/>
          <w:shd w:val="clear" w:color="auto" w:fill="FFFFFF"/>
          <w:lang w:val="en-CA"/>
        </w:rPr>
        <w:t>, such as the right to private life</w:t>
      </w:r>
      <w:r w:rsidR="008437AE">
        <w:rPr>
          <w:rFonts w:ascii="Times New Roman" w:hAnsi="Times New Roman" w:cs="Times New Roman"/>
          <w:color w:val="000000"/>
          <w:sz w:val="24"/>
          <w:szCs w:val="24"/>
          <w:shd w:val="clear" w:color="auto" w:fill="FFFFFF"/>
          <w:lang w:val="en-CA"/>
        </w:rPr>
        <w:t xml:space="preserve">. </w:t>
      </w:r>
      <w:r w:rsidR="008437AE" w:rsidRPr="00891A22">
        <w:rPr>
          <w:rFonts w:ascii="Times New Roman" w:hAnsi="Times New Roman" w:cs="Times New Roman"/>
          <w:color w:val="000000"/>
          <w:sz w:val="24"/>
          <w:szCs w:val="24"/>
          <w:shd w:val="clear" w:color="auto" w:fill="FFFFFF"/>
          <w:lang w:val="en-CA"/>
        </w:rPr>
        <w:t>This</w:t>
      </w:r>
      <w:r w:rsidR="008437AE" w:rsidRPr="00891A22">
        <w:rPr>
          <w:rFonts w:ascii="Times New Roman" w:hAnsi="Times New Roman" w:cs="Times New Roman"/>
          <w:sz w:val="24"/>
          <w:szCs w:val="24"/>
          <w:lang w:val="en-CA"/>
        </w:rPr>
        <w:t xml:space="preserve"> has </w:t>
      </w:r>
      <w:r w:rsidR="00357DC8" w:rsidRPr="00891A22">
        <w:rPr>
          <w:rFonts w:ascii="Times New Roman" w:hAnsi="Times New Roman" w:cs="Times New Roman"/>
          <w:sz w:val="24"/>
          <w:szCs w:val="24"/>
          <w:lang w:val="en-US"/>
        </w:rPr>
        <w:t xml:space="preserve">already </w:t>
      </w:r>
      <w:r w:rsidR="00357DC8" w:rsidRPr="00891A22">
        <w:rPr>
          <w:rFonts w:ascii="Times New Roman" w:hAnsi="Times New Roman" w:cs="Times New Roman"/>
          <w:color w:val="000000"/>
          <w:sz w:val="24"/>
          <w:szCs w:val="24"/>
          <w:shd w:val="clear" w:color="auto" w:fill="FFFFFF"/>
          <w:lang w:val="en-CA"/>
        </w:rPr>
        <w:t xml:space="preserve">been </w:t>
      </w:r>
      <w:r w:rsidR="00357DC8" w:rsidRPr="00891A22">
        <w:rPr>
          <w:rFonts w:ascii="Times New Roman" w:hAnsi="Times New Roman" w:cs="Times New Roman"/>
          <w:sz w:val="24"/>
          <w:szCs w:val="24"/>
          <w:lang w:val="en-US"/>
        </w:rPr>
        <w:t xml:space="preserve">confirmed in </w:t>
      </w:r>
      <w:r w:rsidR="008437AE" w:rsidRPr="00891A22">
        <w:rPr>
          <w:rFonts w:ascii="Times New Roman" w:hAnsi="Times New Roman" w:cs="Times New Roman"/>
          <w:sz w:val="24"/>
          <w:szCs w:val="24"/>
          <w:lang w:val="en-US"/>
        </w:rPr>
        <w:t>UK cas</w:t>
      </w:r>
      <w:r w:rsidR="00891A22" w:rsidRPr="00891A22">
        <w:rPr>
          <w:rFonts w:ascii="Times New Roman" w:hAnsi="Times New Roman" w:cs="Times New Roman"/>
          <w:sz w:val="24"/>
          <w:szCs w:val="24"/>
          <w:lang w:val="en-US"/>
        </w:rPr>
        <w:t>e law</w:t>
      </w:r>
      <w:r w:rsidR="0055634A">
        <w:rPr>
          <w:rFonts w:ascii="Times New Roman" w:hAnsi="Times New Roman" w:cs="Times New Roman"/>
          <w:sz w:val="24"/>
          <w:szCs w:val="24"/>
          <w:lang w:val="en-US"/>
        </w:rPr>
        <w:t xml:space="preserve"> as to other freedom-restricting public order powers</w:t>
      </w:r>
      <w:r w:rsidR="00891A22" w:rsidRPr="00891A22">
        <w:rPr>
          <w:rFonts w:ascii="Times New Roman" w:hAnsi="Times New Roman" w:cs="Times New Roman"/>
          <w:sz w:val="24"/>
          <w:szCs w:val="24"/>
          <w:lang w:val="en-US"/>
        </w:rPr>
        <w:t xml:space="preserve">. In </w:t>
      </w:r>
      <w:r w:rsidR="00891A22" w:rsidRPr="00891A22">
        <w:rPr>
          <w:rFonts w:ascii="Times New Roman" w:hAnsi="Times New Roman" w:cs="Times New Roman"/>
          <w:i/>
          <w:sz w:val="24"/>
          <w:szCs w:val="24"/>
          <w:lang w:val="en-US"/>
        </w:rPr>
        <w:t>McCann</w:t>
      </w:r>
      <w:r w:rsidR="00891A22" w:rsidRPr="00891A22">
        <w:rPr>
          <w:rFonts w:ascii="Times New Roman" w:hAnsi="Times New Roman" w:cs="Times New Roman"/>
          <w:sz w:val="24"/>
          <w:szCs w:val="24"/>
          <w:lang w:val="en-US"/>
        </w:rPr>
        <w:t>, for instance,</w:t>
      </w:r>
      <w:r w:rsidR="008437AE" w:rsidRPr="00891A22">
        <w:rPr>
          <w:rFonts w:ascii="Times New Roman" w:hAnsi="Times New Roman" w:cs="Times New Roman"/>
          <w:i/>
          <w:sz w:val="24"/>
          <w:szCs w:val="24"/>
          <w:lang w:val="en-US"/>
        </w:rPr>
        <w:t xml:space="preserve"> </w:t>
      </w:r>
      <w:r w:rsidR="008437AE" w:rsidRPr="00891A22">
        <w:rPr>
          <w:rFonts w:ascii="Times New Roman" w:hAnsi="Times New Roman" w:cs="Times New Roman"/>
          <w:sz w:val="24"/>
          <w:szCs w:val="24"/>
          <w:lang w:val="en-US"/>
        </w:rPr>
        <w:t>concerning</w:t>
      </w:r>
      <w:r w:rsidR="00891A22" w:rsidRPr="00891A22">
        <w:rPr>
          <w:rFonts w:ascii="Times New Roman" w:hAnsi="Times New Roman" w:cs="Times New Roman"/>
          <w:sz w:val="24"/>
          <w:szCs w:val="24"/>
          <w:lang w:val="en-US"/>
        </w:rPr>
        <w:t xml:space="preserve"> </w:t>
      </w:r>
      <w:r w:rsidR="0055634A">
        <w:rPr>
          <w:rFonts w:ascii="Times New Roman" w:hAnsi="Times New Roman" w:cs="Times New Roman"/>
          <w:sz w:val="24"/>
          <w:szCs w:val="24"/>
          <w:lang w:val="en-US"/>
        </w:rPr>
        <w:t>the former anti-social behaviour orders</w:t>
      </w:r>
      <w:r w:rsidR="0057738D">
        <w:rPr>
          <w:rFonts w:ascii="Times New Roman" w:hAnsi="Times New Roman" w:cs="Times New Roman"/>
          <w:sz w:val="24"/>
          <w:szCs w:val="24"/>
          <w:lang w:val="en-US"/>
        </w:rPr>
        <w:t xml:space="preserve"> and </w:t>
      </w:r>
      <w:r w:rsidR="0055634A">
        <w:rPr>
          <w:rFonts w:ascii="Times New Roman" w:hAnsi="Times New Roman" w:cs="Times New Roman"/>
          <w:sz w:val="24"/>
          <w:szCs w:val="24"/>
          <w:lang w:val="en-US"/>
        </w:rPr>
        <w:t xml:space="preserve">more specifically, amongst others, the order </w:t>
      </w:r>
      <w:r w:rsidR="00891A22">
        <w:rPr>
          <w:rFonts w:ascii="Times New Roman" w:hAnsi="Times New Roman" w:cs="Times New Roman"/>
          <w:sz w:val="24"/>
          <w:szCs w:val="24"/>
          <w:lang w:val="en-US"/>
        </w:rPr>
        <w:t>prohibit</w:t>
      </w:r>
      <w:r w:rsidR="0055634A">
        <w:rPr>
          <w:rFonts w:ascii="Times New Roman" w:hAnsi="Times New Roman" w:cs="Times New Roman"/>
          <w:sz w:val="24"/>
          <w:szCs w:val="24"/>
          <w:lang w:val="en-US"/>
        </w:rPr>
        <w:t>ing</w:t>
      </w:r>
      <w:r w:rsidR="00891A22">
        <w:rPr>
          <w:rFonts w:ascii="Times New Roman" w:hAnsi="Times New Roman" w:cs="Times New Roman"/>
          <w:sz w:val="24"/>
          <w:szCs w:val="24"/>
          <w:lang w:val="en-US"/>
        </w:rPr>
        <w:t xml:space="preserve"> the </w:t>
      </w:r>
      <w:r w:rsidR="0055634A">
        <w:rPr>
          <w:rFonts w:ascii="Times New Roman" w:hAnsi="Times New Roman" w:cs="Times New Roman"/>
          <w:sz w:val="24"/>
          <w:szCs w:val="24"/>
          <w:lang w:val="en-US"/>
        </w:rPr>
        <w:t>individual</w:t>
      </w:r>
      <w:r w:rsidR="00B26431" w:rsidRPr="00891A22">
        <w:rPr>
          <w:rFonts w:ascii="Times New Roman" w:hAnsi="Times New Roman" w:cs="Times New Roman"/>
          <w:sz w:val="24"/>
          <w:szCs w:val="24"/>
          <w:lang w:val="en-US"/>
        </w:rPr>
        <w:t xml:space="preserve"> to be in a certain area for a certain period</w:t>
      </w:r>
      <w:r w:rsidR="00932555">
        <w:rPr>
          <w:rStyle w:val="Odwoanieprzypisudolnego"/>
          <w:rFonts w:ascii="Times New Roman" w:hAnsi="Times New Roman" w:cs="Times New Roman"/>
          <w:sz w:val="24"/>
          <w:szCs w:val="24"/>
          <w:lang w:val="en-US"/>
        </w:rPr>
        <w:footnoteReference w:id="52"/>
      </w:r>
      <w:r w:rsidR="00822181" w:rsidRPr="00891A22">
        <w:rPr>
          <w:rFonts w:ascii="Times New Roman" w:hAnsi="Times New Roman" w:cs="Times New Roman"/>
          <w:sz w:val="24"/>
          <w:szCs w:val="24"/>
          <w:lang w:val="en-US"/>
        </w:rPr>
        <w:t>,</w:t>
      </w:r>
      <w:r w:rsidR="008437AE" w:rsidRPr="00891A22">
        <w:rPr>
          <w:rFonts w:ascii="Times New Roman" w:hAnsi="Times New Roman" w:cs="Times New Roman"/>
          <w:i/>
          <w:sz w:val="24"/>
          <w:szCs w:val="24"/>
          <w:lang w:val="en-US"/>
        </w:rPr>
        <w:t xml:space="preserve"> </w:t>
      </w:r>
      <w:r w:rsidR="008437AE" w:rsidRPr="00891A22">
        <w:rPr>
          <w:rFonts w:ascii="Times New Roman" w:hAnsi="Times New Roman" w:cs="Times New Roman"/>
          <w:sz w:val="24"/>
          <w:szCs w:val="24"/>
          <w:lang w:val="en-US"/>
        </w:rPr>
        <w:t xml:space="preserve">Lord </w:t>
      </w:r>
      <w:r w:rsidR="00891A22">
        <w:rPr>
          <w:rFonts w:ascii="Times New Roman" w:hAnsi="Times New Roman" w:cs="Times New Roman"/>
          <w:sz w:val="24"/>
          <w:szCs w:val="24"/>
          <w:lang w:val="en-US"/>
        </w:rPr>
        <w:t>Hope stated the following:</w:t>
      </w:r>
      <w:r w:rsidR="00822181" w:rsidRPr="00891A22">
        <w:rPr>
          <w:rFonts w:ascii="Times New Roman" w:hAnsi="Times New Roman" w:cs="Times New Roman"/>
          <w:sz w:val="24"/>
          <w:szCs w:val="24"/>
          <w:lang w:val="en-US"/>
        </w:rPr>
        <w:t xml:space="preserve"> </w:t>
      </w:r>
      <w:r w:rsidR="00891A22" w:rsidRPr="00891A22">
        <w:rPr>
          <w:rFonts w:ascii="Times New Roman" w:hAnsi="Times New Roman" w:cs="Times New Roman"/>
          <w:sz w:val="24"/>
          <w:szCs w:val="24"/>
          <w:lang w:val="en-US"/>
        </w:rPr>
        <w:t xml:space="preserve">‘Although the jurisprudence of the Strasbourg Court appears to me as yet to be unclear on this point, I would hold that </w:t>
      </w:r>
      <w:r w:rsidR="00891A22" w:rsidRPr="001859B3">
        <w:rPr>
          <w:rFonts w:ascii="Times New Roman" w:hAnsi="Times New Roman" w:cs="Times New Roman"/>
          <w:sz w:val="24"/>
          <w:szCs w:val="24"/>
          <w:u w:val="single"/>
          <w:lang w:val="en-US"/>
        </w:rPr>
        <w:t>the fact that prohibitions</w:t>
      </w:r>
      <w:r w:rsidR="00891A22" w:rsidRPr="00891A22">
        <w:rPr>
          <w:rFonts w:ascii="Times New Roman" w:hAnsi="Times New Roman" w:cs="Times New Roman"/>
          <w:sz w:val="24"/>
          <w:szCs w:val="24"/>
          <w:lang w:val="en-US"/>
        </w:rPr>
        <w:t xml:space="preserve"> made under section 1(6) of [</w:t>
      </w:r>
      <w:r w:rsidR="00891A22" w:rsidRPr="00891A22">
        <w:rPr>
          <w:rFonts w:ascii="Times New Roman" w:hAnsi="Times New Roman" w:cs="Times New Roman"/>
          <w:color w:val="000000"/>
          <w:sz w:val="24"/>
          <w:szCs w:val="24"/>
          <w:lang w:val="en-CA"/>
        </w:rPr>
        <w:t xml:space="preserve">the Crime and Disorder Act 1998] </w:t>
      </w:r>
      <w:r w:rsidR="00891A22" w:rsidRPr="001859B3">
        <w:rPr>
          <w:rFonts w:ascii="Times New Roman" w:hAnsi="Times New Roman" w:cs="Times New Roman"/>
          <w:sz w:val="24"/>
          <w:szCs w:val="24"/>
          <w:u w:val="single"/>
          <w:lang w:val="en-US"/>
        </w:rPr>
        <w:t>may have this effect [</w:t>
      </w:r>
      <w:r w:rsidR="0055634A" w:rsidRPr="001859B3">
        <w:rPr>
          <w:rFonts w:ascii="Times New Roman" w:hAnsi="Times New Roman" w:cs="Times New Roman"/>
          <w:sz w:val="24"/>
          <w:szCs w:val="24"/>
          <w:u w:val="single"/>
          <w:lang w:val="en-US"/>
        </w:rPr>
        <w:t>i.e.</w:t>
      </w:r>
      <w:r w:rsidR="00891A22" w:rsidRPr="001859B3">
        <w:rPr>
          <w:rFonts w:ascii="Times New Roman" w:hAnsi="Times New Roman" w:cs="Times New Roman"/>
          <w:sz w:val="24"/>
          <w:szCs w:val="24"/>
          <w:u w:val="single"/>
          <w:lang w:val="en-US"/>
        </w:rPr>
        <w:t xml:space="preserve"> </w:t>
      </w:r>
      <w:r w:rsidR="00891A22" w:rsidRPr="001859B3">
        <w:rPr>
          <w:rFonts w:ascii="Times New Roman" w:hAnsi="Times New Roman" w:cs="Times New Roman"/>
          <w:color w:val="000000"/>
          <w:sz w:val="24"/>
          <w:szCs w:val="24"/>
          <w:u w:val="single"/>
          <w:lang w:val="en-CA"/>
        </w:rPr>
        <w:t xml:space="preserve">interfering with, amongst </w:t>
      </w:r>
      <w:r w:rsidR="00891A22" w:rsidRPr="00CE7F17">
        <w:rPr>
          <w:rFonts w:ascii="Times New Roman" w:hAnsi="Times New Roman" w:cs="Times New Roman"/>
          <w:color w:val="000000"/>
          <w:sz w:val="24"/>
          <w:szCs w:val="24"/>
          <w:u w:val="single"/>
          <w:lang w:val="en-CA"/>
        </w:rPr>
        <w:t>other</w:t>
      </w:r>
      <w:r w:rsidR="0055634A" w:rsidRPr="00CE7F17">
        <w:rPr>
          <w:rFonts w:ascii="Times New Roman" w:hAnsi="Times New Roman" w:cs="Times New Roman"/>
          <w:color w:val="000000"/>
          <w:sz w:val="24"/>
          <w:szCs w:val="24"/>
          <w:u w:val="single"/>
          <w:lang w:val="en-CA"/>
        </w:rPr>
        <w:t>s</w:t>
      </w:r>
      <w:r w:rsidR="00891A22" w:rsidRPr="00CE7F17">
        <w:rPr>
          <w:rFonts w:ascii="Times New Roman" w:hAnsi="Times New Roman" w:cs="Times New Roman"/>
          <w:color w:val="000000"/>
          <w:sz w:val="24"/>
          <w:szCs w:val="24"/>
          <w:u w:val="single"/>
          <w:lang w:val="en-CA"/>
        </w:rPr>
        <w:t>, the</w:t>
      </w:r>
      <w:r w:rsidR="00891A22" w:rsidRPr="001859B3">
        <w:rPr>
          <w:rFonts w:ascii="Times New Roman" w:hAnsi="Times New Roman" w:cs="Times New Roman"/>
          <w:color w:val="000000"/>
          <w:sz w:val="24"/>
          <w:szCs w:val="24"/>
          <w:u w:val="single"/>
          <w:lang w:val="en-CA"/>
        </w:rPr>
        <w:t xml:space="preserve"> </w:t>
      </w:r>
      <w:r w:rsidR="0055634A" w:rsidRPr="001859B3">
        <w:rPr>
          <w:rFonts w:ascii="Times New Roman" w:hAnsi="Times New Roman" w:cs="Times New Roman"/>
          <w:color w:val="000000"/>
          <w:sz w:val="24"/>
          <w:szCs w:val="24"/>
          <w:u w:val="single"/>
          <w:lang w:val="en-CA"/>
        </w:rPr>
        <w:t>individual’s</w:t>
      </w:r>
      <w:r w:rsidR="00891A22" w:rsidRPr="001859B3">
        <w:rPr>
          <w:rFonts w:ascii="Times New Roman" w:hAnsi="Times New Roman" w:cs="Times New Roman"/>
          <w:color w:val="000000"/>
          <w:sz w:val="24"/>
          <w:szCs w:val="24"/>
          <w:u w:val="single"/>
          <w:lang w:val="en-CA"/>
        </w:rPr>
        <w:t xml:space="preserve"> private life]</w:t>
      </w:r>
      <w:r w:rsidR="00891A22" w:rsidRPr="001859B3">
        <w:rPr>
          <w:rFonts w:ascii="Times New Roman" w:hAnsi="Times New Roman" w:cs="Times New Roman"/>
          <w:sz w:val="24"/>
          <w:szCs w:val="24"/>
          <w:u w:val="single"/>
          <w:lang w:val="en-US"/>
        </w:rPr>
        <w:t xml:space="preserve"> is sufficient to attract</w:t>
      </w:r>
      <w:r w:rsidR="00891A22" w:rsidRPr="00891A22">
        <w:rPr>
          <w:rFonts w:ascii="Times New Roman" w:hAnsi="Times New Roman" w:cs="Times New Roman"/>
          <w:sz w:val="24"/>
          <w:szCs w:val="24"/>
          <w:lang w:val="en-US"/>
        </w:rPr>
        <w:t xml:space="preserve"> the right to a fair trial which is guaranteed by </w:t>
      </w:r>
      <w:r w:rsidR="00891A22" w:rsidRPr="001859B3">
        <w:rPr>
          <w:rFonts w:ascii="Times New Roman" w:hAnsi="Times New Roman" w:cs="Times New Roman"/>
          <w:sz w:val="24"/>
          <w:szCs w:val="24"/>
          <w:u w:val="single"/>
          <w:lang w:val="en-US"/>
        </w:rPr>
        <w:t>article 6(1)</w:t>
      </w:r>
      <w:r w:rsidR="001859B3">
        <w:rPr>
          <w:rFonts w:ascii="Times New Roman" w:hAnsi="Times New Roman" w:cs="Times New Roman"/>
          <w:color w:val="000000"/>
          <w:sz w:val="24"/>
          <w:szCs w:val="24"/>
          <w:lang w:val="en-US"/>
        </w:rPr>
        <w:t xml:space="preserve"> (emphasis added)</w:t>
      </w:r>
      <w:r w:rsidR="00822181" w:rsidRPr="00891A22">
        <w:rPr>
          <w:rStyle w:val="Odwoanieprzypisudolnego"/>
          <w:rFonts w:ascii="Times New Roman" w:hAnsi="Times New Roman" w:cs="Times New Roman"/>
          <w:color w:val="000000"/>
          <w:sz w:val="24"/>
          <w:szCs w:val="24"/>
          <w:lang w:val="en-US"/>
        </w:rPr>
        <w:footnoteReference w:id="53"/>
      </w:r>
      <w:r w:rsidR="00822181" w:rsidRPr="00891A22">
        <w:rPr>
          <w:rFonts w:ascii="Times New Roman" w:hAnsi="Times New Roman" w:cs="Times New Roman"/>
          <w:color w:val="000000"/>
          <w:sz w:val="24"/>
          <w:szCs w:val="24"/>
          <w:lang w:val="en-US"/>
        </w:rPr>
        <w:t>.</w:t>
      </w:r>
      <w:r w:rsidR="00AF2FE6">
        <w:rPr>
          <w:rFonts w:ascii="Times New Roman" w:hAnsi="Times New Roman" w:cs="Times New Roman"/>
          <w:color w:val="000000"/>
          <w:sz w:val="24"/>
          <w:szCs w:val="24"/>
          <w:lang w:val="en-US"/>
        </w:rPr>
        <w:t xml:space="preserve"> </w:t>
      </w:r>
    </w:p>
    <w:p w14:paraId="7C3E4E93" w14:textId="77777777" w:rsidR="00CE7F17" w:rsidRDefault="00CE7F17" w:rsidP="00CA03A5">
      <w:pPr>
        <w:spacing w:after="0"/>
        <w:jc w:val="both"/>
        <w:rPr>
          <w:rFonts w:ascii="Times New Roman" w:hAnsi="Times New Roman" w:cs="Times New Roman"/>
          <w:color w:val="000000"/>
          <w:sz w:val="24"/>
          <w:szCs w:val="24"/>
          <w:lang w:val="en-US"/>
        </w:rPr>
      </w:pPr>
    </w:p>
    <w:p w14:paraId="02EA83E1" w14:textId="02EB170A" w:rsidR="008437AE" w:rsidRPr="00822181" w:rsidRDefault="00CE7F17" w:rsidP="00CA03A5">
      <w:pPr>
        <w:spacing w:after="0"/>
        <w:jc w:val="both"/>
        <w:rPr>
          <w:rFonts w:ascii="Times New Roman" w:hAnsi="Times New Roman" w:cs="Times New Roman"/>
          <w:sz w:val="24"/>
          <w:szCs w:val="24"/>
          <w:lang w:val="en-US"/>
        </w:rPr>
      </w:pPr>
      <w:r w:rsidRPr="00780192">
        <w:rPr>
          <w:rFonts w:ascii="Times New Roman" w:hAnsi="Times New Roman" w:cs="Times New Roman"/>
          <w:sz w:val="24"/>
          <w:szCs w:val="24"/>
          <w:lang w:val="en-CA"/>
        </w:rPr>
        <w:t>A</w:t>
      </w:r>
      <w:r w:rsidR="00780192" w:rsidRPr="00780192">
        <w:rPr>
          <w:rFonts w:ascii="Times New Roman" w:hAnsi="Times New Roman" w:cs="Times New Roman"/>
          <w:sz w:val="24"/>
          <w:szCs w:val="24"/>
          <w:lang w:val="en-CA"/>
        </w:rPr>
        <w:t>s a result, a</w:t>
      </w:r>
      <w:r w:rsidRPr="00780192">
        <w:rPr>
          <w:rFonts w:ascii="Times New Roman" w:hAnsi="Times New Roman" w:cs="Times New Roman"/>
          <w:sz w:val="24"/>
          <w:szCs w:val="24"/>
          <w:lang w:val="en-CA"/>
        </w:rPr>
        <w:t xml:space="preserve">s the above indicates, </w:t>
      </w:r>
      <w:r w:rsidR="00DD74F2" w:rsidRPr="00780192">
        <w:rPr>
          <w:rFonts w:ascii="Times New Roman" w:hAnsi="Times New Roman" w:cs="Times New Roman"/>
          <w:color w:val="000000"/>
          <w:sz w:val="24"/>
          <w:szCs w:val="24"/>
          <w:lang w:val="en-US"/>
        </w:rPr>
        <w:t xml:space="preserve">it is </w:t>
      </w:r>
      <w:r w:rsidR="00BB740D" w:rsidRPr="00780192">
        <w:rPr>
          <w:rFonts w:ascii="Times New Roman" w:hAnsi="Times New Roman" w:cs="Times New Roman"/>
          <w:color w:val="000000"/>
          <w:sz w:val="24"/>
          <w:szCs w:val="24"/>
          <w:lang w:val="en-US"/>
        </w:rPr>
        <w:t>likely tha</w:t>
      </w:r>
      <w:r w:rsidR="00DD74F2" w:rsidRPr="00780192">
        <w:rPr>
          <w:rFonts w:ascii="Times New Roman" w:hAnsi="Times New Roman" w:cs="Times New Roman"/>
          <w:color w:val="000000"/>
          <w:sz w:val="24"/>
          <w:szCs w:val="24"/>
          <w:lang w:val="en-US"/>
        </w:rPr>
        <w:t xml:space="preserve">t freedom-restricting public order powers </w:t>
      </w:r>
      <w:r w:rsidRPr="00780192">
        <w:rPr>
          <w:rFonts w:ascii="Times New Roman" w:hAnsi="Times New Roman" w:cs="Times New Roman"/>
          <w:color w:val="000000"/>
          <w:sz w:val="24"/>
          <w:szCs w:val="24"/>
          <w:lang w:val="en-US"/>
        </w:rPr>
        <w:t>must</w:t>
      </w:r>
      <w:r w:rsidR="00BB740D" w:rsidRPr="00780192">
        <w:rPr>
          <w:rFonts w:ascii="Times New Roman" w:hAnsi="Times New Roman" w:cs="Times New Roman"/>
          <w:color w:val="000000"/>
          <w:sz w:val="24"/>
          <w:szCs w:val="24"/>
          <w:lang w:val="en-US"/>
        </w:rPr>
        <w:t xml:space="preserve"> be considered as </w:t>
      </w:r>
      <w:r w:rsidR="00DD74F2" w:rsidRPr="00780192">
        <w:rPr>
          <w:rFonts w:ascii="Times New Roman" w:hAnsi="Times New Roman" w:cs="Times New Roman"/>
          <w:color w:val="000000"/>
          <w:sz w:val="24"/>
          <w:szCs w:val="24"/>
          <w:lang w:val="en-US"/>
        </w:rPr>
        <w:t>civil</w:t>
      </w:r>
      <w:r w:rsidR="00BB740D" w:rsidRPr="00780192">
        <w:rPr>
          <w:rFonts w:ascii="Times New Roman" w:hAnsi="Times New Roman" w:cs="Times New Roman"/>
          <w:color w:val="000000"/>
          <w:sz w:val="24"/>
          <w:szCs w:val="24"/>
          <w:lang w:val="en-US"/>
        </w:rPr>
        <w:t xml:space="preserve"> within the meaning of Article 6 ECHR, especially when</w:t>
      </w:r>
      <w:r w:rsidRPr="00780192">
        <w:rPr>
          <w:rFonts w:ascii="Times New Roman" w:hAnsi="Times New Roman" w:cs="Times New Roman"/>
          <w:color w:val="000000"/>
          <w:sz w:val="24"/>
          <w:szCs w:val="24"/>
          <w:lang w:val="en-US"/>
        </w:rPr>
        <w:t xml:space="preserve"> </w:t>
      </w:r>
      <w:r w:rsidR="00780192">
        <w:rPr>
          <w:rFonts w:ascii="Times New Roman" w:hAnsi="Times New Roman" w:cs="Times New Roman"/>
          <w:color w:val="000000"/>
          <w:sz w:val="24"/>
          <w:szCs w:val="24"/>
          <w:lang w:val="en-US"/>
        </w:rPr>
        <w:t>these powers interfere with</w:t>
      </w:r>
      <w:r w:rsidRPr="00780192">
        <w:rPr>
          <w:rFonts w:ascii="Times New Roman" w:hAnsi="Times New Roman" w:cs="Times New Roman"/>
          <w:color w:val="000000"/>
          <w:sz w:val="24"/>
          <w:szCs w:val="24"/>
          <w:lang w:val="en-US"/>
        </w:rPr>
        <w:t xml:space="preserve"> other, civil rights, such as the right to private life in Article 8 ECHR. In other cases, though, these powers may be classified as (also) </w:t>
      </w:r>
      <w:r w:rsidR="00DD74F2" w:rsidRPr="00780192">
        <w:rPr>
          <w:rFonts w:ascii="Times New Roman" w:hAnsi="Times New Roman" w:cs="Times New Roman"/>
          <w:color w:val="000000"/>
          <w:sz w:val="24"/>
          <w:szCs w:val="24"/>
          <w:lang w:val="en-US"/>
        </w:rPr>
        <w:t>criminal</w:t>
      </w:r>
      <w:r w:rsidRPr="00780192">
        <w:rPr>
          <w:rFonts w:ascii="Times New Roman" w:hAnsi="Times New Roman" w:cs="Times New Roman"/>
          <w:color w:val="000000"/>
          <w:sz w:val="24"/>
          <w:szCs w:val="24"/>
          <w:lang w:val="en-US"/>
        </w:rPr>
        <w:t xml:space="preserve"> for the purposes of Article 6 and not (only) civil</w:t>
      </w:r>
      <w:r w:rsidR="00DD74F2" w:rsidRPr="00780192">
        <w:rPr>
          <w:rFonts w:ascii="Times New Roman" w:hAnsi="Times New Roman" w:cs="Times New Roman"/>
          <w:color w:val="000000"/>
          <w:sz w:val="24"/>
          <w:szCs w:val="24"/>
          <w:lang w:val="en-US"/>
        </w:rPr>
        <w:t>.</w:t>
      </w:r>
    </w:p>
    <w:p w14:paraId="0BC9DCDD" w14:textId="77777777" w:rsidR="00370304" w:rsidRPr="00DD74F2" w:rsidRDefault="00370304" w:rsidP="00CA03A5">
      <w:pPr>
        <w:spacing w:before="240"/>
        <w:jc w:val="both"/>
        <w:rPr>
          <w:rFonts w:ascii="Times New Roman" w:hAnsi="Times New Roman" w:cs="Times New Roman"/>
          <w:sz w:val="24"/>
          <w:szCs w:val="24"/>
          <w:lang w:val="en-US"/>
        </w:rPr>
      </w:pPr>
    </w:p>
    <w:p w14:paraId="6F03F55B" w14:textId="021C330C" w:rsidR="00D8481D" w:rsidRDefault="00552FDB" w:rsidP="00CA03A5">
      <w:pPr>
        <w:pStyle w:val="Nagwek1"/>
        <w:spacing w:before="0"/>
        <w:rPr>
          <w:lang w:val="en-US"/>
        </w:rPr>
      </w:pPr>
      <w:bookmarkStart w:id="5" w:name="_Toc462591609"/>
      <w:bookmarkStart w:id="6" w:name="_Toc453965894"/>
      <w:r w:rsidRPr="003F34A3">
        <w:rPr>
          <w:lang w:val="en-US"/>
        </w:rPr>
        <w:lastRenderedPageBreak/>
        <w:t xml:space="preserve">THE </w:t>
      </w:r>
      <w:r w:rsidR="00D8481D">
        <w:rPr>
          <w:lang w:val="en-US"/>
        </w:rPr>
        <w:t>PROPORTIONALITY</w:t>
      </w:r>
      <w:r w:rsidRPr="003F34A3">
        <w:rPr>
          <w:lang w:val="en-US"/>
        </w:rPr>
        <w:t xml:space="preserve"> OF </w:t>
      </w:r>
      <w:r w:rsidR="00D8481D">
        <w:rPr>
          <w:lang w:val="en-US"/>
        </w:rPr>
        <w:t>AREA-BASED RESTRICTIONS</w:t>
      </w:r>
      <w:bookmarkEnd w:id="5"/>
    </w:p>
    <w:p w14:paraId="05E8A264" w14:textId="77777777" w:rsidR="00D8481D" w:rsidRDefault="00D8481D" w:rsidP="00D8481D">
      <w:pPr>
        <w:rPr>
          <w:lang w:val="en-US"/>
        </w:rPr>
      </w:pPr>
    </w:p>
    <w:p w14:paraId="48AA9365" w14:textId="77777777" w:rsidR="005F64ED" w:rsidRPr="003F34A3" w:rsidRDefault="00F4255F" w:rsidP="00D8481D">
      <w:pPr>
        <w:pStyle w:val="Nagwek2"/>
        <w:rPr>
          <w:lang w:val="en-US"/>
        </w:rPr>
      </w:pPr>
      <w:bookmarkStart w:id="7" w:name="_Toc462591610"/>
      <w:r w:rsidRPr="003F34A3">
        <w:rPr>
          <w:lang w:val="en-US"/>
        </w:rPr>
        <w:t>THE EUROPEAN COURT OF HUMAN RIGHTS</w:t>
      </w:r>
      <w:bookmarkEnd w:id="6"/>
      <w:bookmarkEnd w:id="7"/>
    </w:p>
    <w:p w14:paraId="308C30EA" w14:textId="77777777" w:rsidR="00C23B4A" w:rsidRDefault="00C23B4A" w:rsidP="00C23B4A">
      <w:pPr>
        <w:autoSpaceDE w:val="0"/>
        <w:autoSpaceDN w:val="0"/>
        <w:adjustRightInd w:val="0"/>
        <w:spacing w:after="0"/>
        <w:jc w:val="both"/>
        <w:rPr>
          <w:rStyle w:val="apple-converted-space"/>
          <w:rFonts w:ascii="Times New Roman" w:hAnsi="Times New Roman" w:cs="Times New Roman"/>
          <w:sz w:val="24"/>
          <w:szCs w:val="24"/>
          <w:lang w:val="en-CA"/>
        </w:rPr>
      </w:pPr>
    </w:p>
    <w:p w14:paraId="0B9644BE" w14:textId="10207B55" w:rsidR="00884A8A" w:rsidRDefault="0022227A" w:rsidP="007A409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316393">
        <w:rPr>
          <w:rFonts w:ascii="Times New Roman" w:hAnsi="Times New Roman" w:cs="Times New Roman"/>
          <w:sz w:val="24"/>
          <w:szCs w:val="24"/>
          <w:lang w:val="en-US"/>
        </w:rPr>
        <w:t>he proportionality principle</w:t>
      </w:r>
      <w:r w:rsidR="001B35FC" w:rsidRPr="00D176EA">
        <w:rPr>
          <w:rFonts w:ascii="Times New Roman" w:hAnsi="Times New Roman" w:cs="Times New Roman"/>
          <w:sz w:val="24"/>
          <w:szCs w:val="24"/>
          <w:lang w:val="en-US"/>
        </w:rPr>
        <w:t xml:space="preserve"> has been identified in the Strasbourg Court’s case law as a general principle </w:t>
      </w:r>
      <w:r w:rsidR="00316393">
        <w:rPr>
          <w:rFonts w:ascii="Times New Roman" w:hAnsi="Times New Roman" w:cs="Times New Roman"/>
          <w:sz w:val="24"/>
          <w:szCs w:val="24"/>
          <w:lang w:val="en-US"/>
        </w:rPr>
        <w:t>of the Convention</w:t>
      </w:r>
      <w:r>
        <w:rPr>
          <w:rFonts w:ascii="Times New Roman" w:hAnsi="Times New Roman" w:cs="Times New Roman"/>
          <w:sz w:val="24"/>
          <w:szCs w:val="24"/>
          <w:lang w:val="en-US"/>
        </w:rPr>
        <w:t>, as mentioned above</w:t>
      </w:r>
      <w:r w:rsidR="00316393">
        <w:rPr>
          <w:rFonts w:ascii="Times New Roman" w:hAnsi="Times New Roman" w:cs="Times New Roman"/>
          <w:sz w:val="24"/>
          <w:szCs w:val="24"/>
          <w:lang w:val="en-US"/>
        </w:rPr>
        <w:t>. The principle i</w:t>
      </w:r>
      <w:r w:rsidR="001B35FC" w:rsidRPr="00D176EA">
        <w:rPr>
          <w:rFonts w:ascii="Times New Roman" w:hAnsi="Times New Roman" w:cs="Times New Roman"/>
          <w:sz w:val="24"/>
          <w:szCs w:val="24"/>
          <w:lang w:val="en-US"/>
        </w:rPr>
        <w:t>s ‘inherent in the whole of the Convention’ and requires the Strasbourg Court to search for ‘a fair balance between the demands of the ge</w:t>
      </w:r>
      <w:r w:rsidR="00D176EA">
        <w:rPr>
          <w:rFonts w:ascii="Times New Roman" w:hAnsi="Times New Roman" w:cs="Times New Roman"/>
          <w:sz w:val="24"/>
          <w:szCs w:val="24"/>
          <w:lang w:val="en-US"/>
        </w:rPr>
        <w:t xml:space="preserve">neral interest of the community </w:t>
      </w:r>
      <w:r w:rsidR="001B35FC" w:rsidRPr="00D176EA">
        <w:rPr>
          <w:rFonts w:ascii="Times New Roman" w:hAnsi="Times New Roman" w:cs="Times New Roman"/>
          <w:sz w:val="24"/>
          <w:szCs w:val="24"/>
          <w:lang w:val="en-US"/>
        </w:rPr>
        <w:t>and the requirements of the protection of the individual’s fundamental right’</w:t>
      </w:r>
      <w:r w:rsidR="001B35FC" w:rsidRPr="00D176EA">
        <w:rPr>
          <w:rStyle w:val="Odwoanieprzypisudolnego"/>
          <w:rFonts w:ascii="Times New Roman" w:hAnsi="Times New Roman" w:cs="Times New Roman"/>
          <w:sz w:val="24"/>
          <w:szCs w:val="24"/>
          <w:lang w:val="en-US"/>
        </w:rPr>
        <w:footnoteReference w:id="54"/>
      </w:r>
      <w:r w:rsidR="001B35FC" w:rsidRPr="00D176EA">
        <w:rPr>
          <w:rFonts w:ascii="Times New Roman" w:hAnsi="Times New Roman" w:cs="Times New Roman"/>
          <w:sz w:val="24"/>
          <w:szCs w:val="24"/>
          <w:lang w:val="en-US"/>
        </w:rPr>
        <w:t>.</w:t>
      </w:r>
      <w:r w:rsidR="001B35FC" w:rsidRPr="00B921B0">
        <w:rPr>
          <w:rFonts w:ascii="Times New Roman" w:hAnsi="Times New Roman" w:cs="Times New Roman"/>
          <w:sz w:val="24"/>
          <w:szCs w:val="24"/>
          <w:lang w:val="en-US"/>
        </w:rPr>
        <w:t xml:space="preserve"> </w:t>
      </w:r>
      <w:r w:rsidR="002F1239">
        <w:rPr>
          <w:rFonts w:ascii="Times New Roman" w:hAnsi="Times New Roman" w:cs="Times New Roman"/>
          <w:sz w:val="24"/>
          <w:szCs w:val="24"/>
          <w:lang w:val="en-US"/>
        </w:rPr>
        <w:t xml:space="preserve">In general, </w:t>
      </w:r>
      <w:r w:rsidR="00D176EA">
        <w:rPr>
          <w:rFonts w:ascii="Times New Roman" w:hAnsi="Times New Roman" w:cs="Times New Roman"/>
          <w:sz w:val="24"/>
          <w:szCs w:val="24"/>
          <w:lang w:val="en-US"/>
        </w:rPr>
        <w:t>as is apparent from its case law, the Strasbourg Court applies the following three criteria</w:t>
      </w:r>
      <w:r>
        <w:rPr>
          <w:rFonts w:ascii="Times New Roman" w:hAnsi="Times New Roman" w:cs="Times New Roman"/>
          <w:sz w:val="24"/>
          <w:szCs w:val="24"/>
          <w:lang w:val="en-US"/>
        </w:rPr>
        <w:t>,</w:t>
      </w:r>
      <w:r w:rsidR="00D176EA">
        <w:rPr>
          <w:rFonts w:ascii="Times New Roman" w:hAnsi="Times New Roman" w:cs="Times New Roman"/>
          <w:sz w:val="24"/>
          <w:szCs w:val="24"/>
          <w:lang w:val="en-US"/>
        </w:rPr>
        <w:t xml:space="preserve"> when analysing</w:t>
      </w:r>
      <w:r w:rsidR="002F1239">
        <w:rPr>
          <w:rFonts w:ascii="Times New Roman" w:hAnsi="Times New Roman" w:cs="Times New Roman"/>
          <w:sz w:val="24"/>
          <w:szCs w:val="24"/>
          <w:lang w:val="en-US"/>
        </w:rPr>
        <w:t xml:space="preserve"> the proportionality of </w:t>
      </w:r>
      <w:r w:rsidR="00D176EA">
        <w:rPr>
          <w:rFonts w:ascii="Times New Roman" w:hAnsi="Times New Roman" w:cs="Times New Roman"/>
          <w:sz w:val="24"/>
          <w:szCs w:val="24"/>
          <w:lang w:val="en-US"/>
        </w:rPr>
        <w:t>measure</w:t>
      </w:r>
      <w:r w:rsidR="001551B3">
        <w:rPr>
          <w:rFonts w:ascii="Times New Roman" w:hAnsi="Times New Roman" w:cs="Times New Roman"/>
          <w:sz w:val="24"/>
          <w:szCs w:val="24"/>
          <w:lang w:val="en-US"/>
        </w:rPr>
        <w:t>s restricting the individual’s</w:t>
      </w:r>
      <w:r w:rsidR="00D176EA">
        <w:rPr>
          <w:rFonts w:ascii="Times New Roman" w:hAnsi="Times New Roman" w:cs="Times New Roman"/>
          <w:sz w:val="24"/>
          <w:szCs w:val="24"/>
          <w:lang w:val="en-US"/>
        </w:rPr>
        <w:t xml:space="preserve"> fundamental right</w:t>
      </w:r>
      <w:r w:rsidR="001551B3">
        <w:rPr>
          <w:rFonts w:ascii="Times New Roman" w:hAnsi="Times New Roman" w:cs="Times New Roman"/>
          <w:sz w:val="24"/>
          <w:szCs w:val="24"/>
          <w:lang w:val="en-US"/>
        </w:rPr>
        <w:t>s</w:t>
      </w:r>
      <w:r w:rsidR="00A7512D">
        <w:rPr>
          <w:rFonts w:ascii="Times New Roman" w:hAnsi="Times New Roman" w:cs="Times New Roman"/>
          <w:sz w:val="24"/>
          <w:szCs w:val="24"/>
          <w:lang w:val="en-US"/>
        </w:rPr>
        <w:t xml:space="preserve">, such as </w:t>
      </w:r>
      <w:r w:rsidR="00571696">
        <w:rPr>
          <w:rFonts w:ascii="Times New Roman" w:hAnsi="Times New Roman" w:cs="Times New Roman"/>
          <w:sz w:val="24"/>
          <w:szCs w:val="24"/>
          <w:lang w:val="en-US"/>
        </w:rPr>
        <w:t>Article</w:t>
      </w:r>
      <w:r w:rsidR="00A7512D">
        <w:rPr>
          <w:rFonts w:ascii="Times New Roman" w:hAnsi="Times New Roman" w:cs="Times New Roman"/>
          <w:sz w:val="24"/>
          <w:szCs w:val="24"/>
          <w:lang w:val="en-US"/>
        </w:rPr>
        <w:t xml:space="preserve"> 2 FAP and the conditional rights in </w:t>
      </w:r>
      <w:r w:rsidR="00571696">
        <w:rPr>
          <w:rFonts w:ascii="Times New Roman" w:hAnsi="Times New Roman" w:cs="Times New Roman"/>
          <w:sz w:val="24"/>
          <w:szCs w:val="24"/>
          <w:lang w:val="en-US"/>
        </w:rPr>
        <w:t>Article</w:t>
      </w:r>
      <w:r w:rsidR="00A7512D">
        <w:rPr>
          <w:rFonts w:ascii="Times New Roman" w:hAnsi="Times New Roman" w:cs="Times New Roman"/>
          <w:sz w:val="24"/>
          <w:szCs w:val="24"/>
          <w:lang w:val="en-US"/>
        </w:rPr>
        <w:t>s 8, 10 and 11 ECHR</w:t>
      </w:r>
      <w:r w:rsidR="00D176EA">
        <w:rPr>
          <w:rFonts w:ascii="Times New Roman" w:hAnsi="Times New Roman" w:cs="Times New Roman"/>
          <w:sz w:val="24"/>
          <w:szCs w:val="24"/>
          <w:lang w:val="en-US"/>
        </w:rPr>
        <w:t>:</w:t>
      </w:r>
      <w:r w:rsidR="00201808">
        <w:rPr>
          <w:rStyle w:val="Odwoanieprzypisudolnego"/>
          <w:rFonts w:ascii="Times New Roman" w:hAnsi="Times New Roman" w:cs="Times New Roman"/>
          <w:sz w:val="24"/>
          <w:szCs w:val="24"/>
          <w:lang w:val="en-US"/>
        </w:rPr>
        <w:footnoteReference w:id="55"/>
      </w:r>
    </w:p>
    <w:p w14:paraId="71F25EA7" w14:textId="5C29735D" w:rsidR="00DF0B3E" w:rsidRPr="00DF0B3E" w:rsidRDefault="00D176EA" w:rsidP="00DF0B3E">
      <w:pPr>
        <w:pStyle w:val="Akapitzlist"/>
        <w:numPr>
          <w:ilvl w:val="0"/>
          <w:numId w:val="25"/>
        </w:numPr>
        <w:jc w:val="both"/>
        <w:rPr>
          <w:rStyle w:val="apple-converted-space"/>
          <w:rFonts w:ascii="Times New Roman" w:hAnsi="Times New Roman" w:cs="Times New Roman"/>
          <w:bCs/>
          <w:sz w:val="24"/>
          <w:szCs w:val="24"/>
          <w:lang w:val="en-CA"/>
        </w:rPr>
      </w:pPr>
      <w:r>
        <w:rPr>
          <w:rFonts w:ascii="Times New Roman" w:hAnsi="Times New Roman" w:cs="Times New Roman"/>
          <w:sz w:val="24"/>
          <w:szCs w:val="24"/>
          <w:lang w:val="en-US"/>
        </w:rPr>
        <w:t>T</w:t>
      </w:r>
      <w:r w:rsidR="00DF0B3E" w:rsidRPr="004730CA">
        <w:rPr>
          <w:rFonts w:ascii="Times New Roman" w:hAnsi="Times New Roman" w:cs="Times New Roman"/>
          <w:sz w:val="24"/>
          <w:szCs w:val="24"/>
          <w:lang w:val="en-US"/>
        </w:rPr>
        <w:t xml:space="preserve">he </w:t>
      </w:r>
      <w:r>
        <w:rPr>
          <w:rFonts w:ascii="Times New Roman" w:hAnsi="Times New Roman" w:cs="Times New Roman"/>
          <w:sz w:val="24"/>
          <w:szCs w:val="24"/>
          <w:lang w:val="en-US"/>
        </w:rPr>
        <w:t>restriction</w:t>
      </w:r>
      <w:r w:rsidRPr="004730CA">
        <w:rPr>
          <w:rFonts w:ascii="Times New Roman" w:hAnsi="Times New Roman" w:cs="Times New Roman"/>
          <w:sz w:val="24"/>
          <w:szCs w:val="24"/>
          <w:lang w:val="en-US"/>
        </w:rPr>
        <w:t xml:space="preserve"> </w:t>
      </w:r>
      <w:r w:rsidR="00DF0B3E">
        <w:rPr>
          <w:rFonts w:ascii="Times New Roman" w:hAnsi="Times New Roman" w:cs="Times New Roman"/>
          <w:sz w:val="24"/>
          <w:szCs w:val="24"/>
          <w:lang w:val="en-US"/>
        </w:rPr>
        <w:t>must</w:t>
      </w:r>
      <w:r w:rsidR="00DF0B3E" w:rsidRPr="004730CA">
        <w:rPr>
          <w:rFonts w:ascii="Times New Roman" w:hAnsi="Times New Roman" w:cs="Times New Roman"/>
          <w:sz w:val="24"/>
          <w:szCs w:val="24"/>
          <w:lang w:val="en-US"/>
        </w:rPr>
        <w:t xml:space="preserve"> be relevant </w:t>
      </w:r>
      <w:r w:rsidR="00DF0B3E">
        <w:rPr>
          <w:rFonts w:ascii="Times New Roman" w:hAnsi="Times New Roman" w:cs="Times New Roman"/>
          <w:sz w:val="24"/>
          <w:szCs w:val="24"/>
          <w:lang w:val="en-US"/>
        </w:rPr>
        <w:t xml:space="preserve">and sufficient and thus </w:t>
      </w:r>
      <w:r w:rsidR="00DF0B3E" w:rsidRPr="003A3FDC">
        <w:rPr>
          <w:rFonts w:ascii="Times New Roman" w:hAnsi="Times New Roman" w:cs="Times New Roman"/>
          <w:i/>
          <w:sz w:val="24"/>
          <w:szCs w:val="24"/>
          <w:lang w:val="en-US"/>
        </w:rPr>
        <w:t>suitable</w:t>
      </w:r>
      <w:r w:rsidR="00DF0B3E">
        <w:rPr>
          <w:rFonts w:ascii="Times New Roman" w:hAnsi="Times New Roman" w:cs="Times New Roman"/>
          <w:sz w:val="24"/>
          <w:szCs w:val="24"/>
          <w:lang w:val="en-US"/>
        </w:rPr>
        <w:t xml:space="preserve"> </w:t>
      </w:r>
      <w:r w:rsidR="00DF0B3E" w:rsidRPr="004730CA">
        <w:rPr>
          <w:rFonts w:ascii="Times New Roman" w:hAnsi="Times New Roman" w:cs="Times New Roman"/>
          <w:sz w:val="24"/>
          <w:szCs w:val="24"/>
          <w:lang w:val="en-US"/>
        </w:rPr>
        <w:t>in order to achieve the pursued aim</w:t>
      </w:r>
      <w:r w:rsidR="00DF0B3E" w:rsidRPr="00DF0B3E">
        <w:rPr>
          <w:rStyle w:val="apple-converted-space"/>
          <w:rFonts w:ascii="Times New Roman" w:hAnsi="Times New Roman" w:cs="Times New Roman"/>
          <w:bCs/>
          <w:sz w:val="24"/>
          <w:szCs w:val="24"/>
          <w:lang w:val="en-CA"/>
        </w:rPr>
        <w:t xml:space="preserve">; </w:t>
      </w:r>
    </w:p>
    <w:p w14:paraId="0E998438" w14:textId="60E409C5" w:rsidR="002F1239" w:rsidRPr="00C20DAA" w:rsidRDefault="00D176EA" w:rsidP="002F1239">
      <w:pPr>
        <w:pStyle w:val="Akapitzlist"/>
        <w:numPr>
          <w:ilvl w:val="0"/>
          <w:numId w:val="25"/>
        </w:numPr>
        <w:jc w:val="both"/>
        <w:rPr>
          <w:rStyle w:val="apple-converted-space"/>
          <w:rFonts w:ascii="Times New Roman" w:hAnsi="Times New Roman" w:cs="Times New Roman"/>
          <w:bCs/>
          <w:sz w:val="24"/>
          <w:szCs w:val="24"/>
          <w:lang w:val="en-CA"/>
        </w:rPr>
      </w:pPr>
      <w:r w:rsidRPr="00C20DAA">
        <w:rPr>
          <w:rFonts w:ascii="Times New Roman" w:hAnsi="Times New Roman" w:cs="Times New Roman"/>
          <w:sz w:val="24"/>
          <w:szCs w:val="24"/>
          <w:lang w:val="en-CA"/>
        </w:rPr>
        <w:t>T</w:t>
      </w:r>
      <w:r w:rsidR="00F636D1" w:rsidRPr="00C20DAA">
        <w:rPr>
          <w:rFonts w:ascii="Times New Roman" w:hAnsi="Times New Roman" w:cs="Times New Roman"/>
          <w:sz w:val="24"/>
          <w:szCs w:val="24"/>
          <w:lang w:val="en-CA"/>
        </w:rPr>
        <w:t xml:space="preserve">he </w:t>
      </w:r>
      <w:r w:rsidRPr="00C20DAA">
        <w:rPr>
          <w:rFonts w:ascii="Times New Roman" w:hAnsi="Times New Roman" w:cs="Times New Roman"/>
          <w:sz w:val="24"/>
          <w:szCs w:val="24"/>
          <w:lang w:val="en-CA"/>
        </w:rPr>
        <w:t>restriction</w:t>
      </w:r>
      <w:r w:rsidR="00F636D1" w:rsidRPr="00C20DAA">
        <w:rPr>
          <w:rFonts w:ascii="Times New Roman" w:hAnsi="Times New Roman" w:cs="Times New Roman"/>
          <w:sz w:val="24"/>
          <w:szCs w:val="24"/>
          <w:lang w:val="en-CA"/>
        </w:rPr>
        <w:t xml:space="preserve"> must be </w:t>
      </w:r>
      <w:r w:rsidR="00F636D1" w:rsidRPr="00C20DAA">
        <w:rPr>
          <w:rFonts w:ascii="Times New Roman" w:hAnsi="Times New Roman" w:cs="Times New Roman"/>
          <w:i/>
          <w:sz w:val="24"/>
          <w:szCs w:val="24"/>
          <w:lang w:val="en-CA"/>
        </w:rPr>
        <w:t>necessary</w:t>
      </w:r>
      <w:r w:rsidR="00F636D1" w:rsidRPr="00C20DAA">
        <w:rPr>
          <w:rFonts w:ascii="Times New Roman" w:hAnsi="Times New Roman" w:cs="Times New Roman"/>
          <w:sz w:val="24"/>
          <w:szCs w:val="24"/>
          <w:lang w:val="en-CA"/>
        </w:rPr>
        <w:t xml:space="preserve">. This means that the restriction must be </w:t>
      </w:r>
      <w:r w:rsidR="00F636D1" w:rsidRPr="00C20DAA">
        <w:rPr>
          <w:rStyle w:val="apple-converted-space"/>
          <w:rFonts w:ascii="Times New Roman" w:hAnsi="Times New Roman" w:cs="Times New Roman"/>
          <w:bCs/>
          <w:sz w:val="24"/>
          <w:szCs w:val="24"/>
          <w:lang w:val="en-CA"/>
        </w:rPr>
        <w:t>imposed due to ‘a pressing social need’</w:t>
      </w:r>
      <w:r w:rsidR="00C20DAA" w:rsidRPr="00C20DAA">
        <w:rPr>
          <w:rStyle w:val="apple-converted-space"/>
          <w:rFonts w:ascii="Times New Roman" w:hAnsi="Times New Roman" w:cs="Times New Roman"/>
          <w:bCs/>
          <w:sz w:val="24"/>
          <w:szCs w:val="24"/>
          <w:lang w:val="en-CA"/>
        </w:rPr>
        <w:t>. According to the Strasbourg Court’s case law, th</w:t>
      </w:r>
      <w:r w:rsidR="00C20DAA">
        <w:rPr>
          <w:rStyle w:val="apple-converted-space"/>
          <w:rFonts w:ascii="Times New Roman" w:hAnsi="Times New Roman" w:cs="Times New Roman"/>
          <w:bCs/>
          <w:sz w:val="24"/>
          <w:szCs w:val="24"/>
          <w:lang w:val="en-CA"/>
        </w:rPr>
        <w:t>is</w:t>
      </w:r>
      <w:r w:rsidR="00C20DAA">
        <w:rPr>
          <w:rFonts w:ascii="Times New Roman" w:hAnsi="Times New Roman" w:cs="Times New Roman"/>
          <w:sz w:val="24"/>
          <w:szCs w:val="24"/>
          <w:lang w:val="en-CA"/>
        </w:rPr>
        <w:t xml:space="preserve"> concept d</w:t>
      </w:r>
      <w:r w:rsidR="00C20DAA" w:rsidRPr="00C20DAA">
        <w:rPr>
          <w:rFonts w:ascii="Times New Roman" w:hAnsi="Times New Roman" w:cs="Times New Roman"/>
          <w:sz w:val="24"/>
          <w:szCs w:val="24"/>
          <w:lang w:val="en-CA"/>
        </w:rPr>
        <w:t xml:space="preserve">oes not necessarily indicate that the imposed measure must be ‘indispensable’. However, </w:t>
      </w:r>
      <w:r w:rsidR="001551B3">
        <w:rPr>
          <w:rFonts w:ascii="Times New Roman" w:hAnsi="Times New Roman" w:cs="Times New Roman"/>
          <w:sz w:val="24"/>
          <w:szCs w:val="24"/>
          <w:lang w:val="en-CA"/>
        </w:rPr>
        <w:t>it</w:t>
      </w:r>
      <w:r w:rsidR="00C20DAA" w:rsidRPr="00C20DAA">
        <w:rPr>
          <w:rFonts w:ascii="Times New Roman" w:hAnsi="Times New Roman" w:cs="Times New Roman"/>
          <w:sz w:val="24"/>
          <w:szCs w:val="24"/>
          <w:lang w:val="en-CA"/>
        </w:rPr>
        <w:t xml:space="preserve"> may not be interpreted as merely ‘useful' or ‘desirable’ either. Therefore, the concept of ‘necessary’ must be interpreted as something in between</w:t>
      </w:r>
      <w:r w:rsidR="00F636D1" w:rsidRPr="00C20DAA">
        <w:rPr>
          <w:rStyle w:val="Odwoanieprzypisudolnego"/>
          <w:rFonts w:ascii="Times New Roman" w:hAnsi="Times New Roman" w:cs="Times New Roman"/>
          <w:sz w:val="24"/>
          <w:szCs w:val="24"/>
          <w:lang w:val="en-CA"/>
        </w:rPr>
        <w:footnoteReference w:id="56"/>
      </w:r>
      <w:r w:rsidR="00C20DAA">
        <w:rPr>
          <w:rStyle w:val="apple-converted-space"/>
          <w:rFonts w:ascii="Times New Roman" w:hAnsi="Times New Roman" w:cs="Times New Roman"/>
          <w:bCs/>
          <w:sz w:val="24"/>
          <w:szCs w:val="24"/>
          <w:lang w:val="en-CA"/>
        </w:rPr>
        <w:t>;</w:t>
      </w:r>
    </w:p>
    <w:p w14:paraId="5E27D2D8" w14:textId="7C4C0ED4" w:rsidR="002F1239" w:rsidRPr="007D41FE" w:rsidRDefault="00D176EA" w:rsidP="002F1239">
      <w:pPr>
        <w:pStyle w:val="Akapitzlist"/>
        <w:numPr>
          <w:ilvl w:val="0"/>
          <w:numId w:val="25"/>
        </w:numPr>
        <w:jc w:val="both"/>
        <w:rPr>
          <w:rStyle w:val="apple-converted-space"/>
          <w:rFonts w:ascii="Times New Roman" w:hAnsi="Times New Roman" w:cs="Times New Roman"/>
          <w:bCs/>
          <w:sz w:val="24"/>
          <w:szCs w:val="24"/>
          <w:lang w:val="en-CA"/>
        </w:rPr>
      </w:pPr>
      <w:r w:rsidRPr="007D41FE">
        <w:rPr>
          <w:rStyle w:val="apple-converted-space"/>
          <w:rFonts w:ascii="Times New Roman" w:hAnsi="Times New Roman" w:cs="Times New Roman"/>
          <w:bCs/>
          <w:sz w:val="24"/>
          <w:szCs w:val="24"/>
          <w:lang w:val="en-CA"/>
        </w:rPr>
        <w:t>T</w:t>
      </w:r>
      <w:r w:rsidR="00AE4CBD" w:rsidRPr="007D41FE">
        <w:rPr>
          <w:rStyle w:val="apple-converted-space"/>
          <w:rFonts w:ascii="Times New Roman" w:hAnsi="Times New Roman" w:cs="Times New Roman"/>
          <w:bCs/>
          <w:sz w:val="24"/>
          <w:szCs w:val="24"/>
          <w:lang w:val="en-CA"/>
        </w:rPr>
        <w:t xml:space="preserve">he restriction must be </w:t>
      </w:r>
      <w:r w:rsidR="00AE4CBD" w:rsidRPr="003A3FDC">
        <w:rPr>
          <w:rStyle w:val="apple-converted-space"/>
          <w:rFonts w:ascii="Times New Roman" w:hAnsi="Times New Roman" w:cs="Times New Roman"/>
          <w:bCs/>
          <w:i/>
          <w:sz w:val="24"/>
          <w:szCs w:val="24"/>
          <w:lang w:val="en-CA"/>
        </w:rPr>
        <w:t>proportionate in the strict sense</w:t>
      </w:r>
      <w:r w:rsidR="007D41FE">
        <w:rPr>
          <w:rStyle w:val="apple-converted-space"/>
          <w:rFonts w:ascii="Times New Roman" w:hAnsi="Times New Roman" w:cs="Times New Roman"/>
          <w:bCs/>
          <w:sz w:val="24"/>
          <w:szCs w:val="24"/>
          <w:lang w:val="en-CA"/>
        </w:rPr>
        <w:t xml:space="preserve">. </w:t>
      </w:r>
      <w:r w:rsidR="007D41FE" w:rsidRPr="007D41FE">
        <w:rPr>
          <w:rStyle w:val="apple-converted-space"/>
          <w:rFonts w:ascii="Times New Roman" w:hAnsi="Times New Roman" w:cs="Times New Roman"/>
          <w:bCs/>
          <w:sz w:val="24"/>
          <w:szCs w:val="24"/>
          <w:lang w:val="en-CA"/>
        </w:rPr>
        <w:t>This means that</w:t>
      </w:r>
      <w:r w:rsidRPr="007D41FE">
        <w:rPr>
          <w:rStyle w:val="apple-converted-space"/>
          <w:rFonts w:ascii="Times New Roman" w:hAnsi="Times New Roman" w:cs="Times New Roman"/>
          <w:bCs/>
          <w:sz w:val="24"/>
          <w:szCs w:val="24"/>
          <w:lang w:val="en-CA"/>
        </w:rPr>
        <w:t xml:space="preserve"> the severity of the restriction on t</w:t>
      </w:r>
      <w:r w:rsidR="007D41FE" w:rsidRPr="007D41FE">
        <w:rPr>
          <w:rStyle w:val="apple-converted-space"/>
          <w:rFonts w:ascii="Times New Roman" w:hAnsi="Times New Roman" w:cs="Times New Roman"/>
          <w:bCs/>
          <w:sz w:val="24"/>
          <w:szCs w:val="24"/>
          <w:lang w:val="en-CA"/>
        </w:rPr>
        <w:t xml:space="preserve">he fundamental right must stand </w:t>
      </w:r>
      <w:r w:rsidR="0022227A">
        <w:rPr>
          <w:rStyle w:val="apple-converted-space"/>
          <w:rFonts w:ascii="Times New Roman" w:hAnsi="Times New Roman" w:cs="Times New Roman"/>
          <w:bCs/>
          <w:sz w:val="24"/>
          <w:szCs w:val="24"/>
          <w:lang w:val="en-CA"/>
        </w:rPr>
        <w:t xml:space="preserve">in fair proportion to the </w:t>
      </w:r>
      <w:r w:rsidRPr="007D41FE">
        <w:rPr>
          <w:rStyle w:val="apple-converted-space"/>
          <w:rFonts w:ascii="Times New Roman" w:hAnsi="Times New Roman" w:cs="Times New Roman"/>
          <w:bCs/>
          <w:sz w:val="24"/>
          <w:szCs w:val="24"/>
          <w:lang w:val="en-CA"/>
        </w:rPr>
        <w:t xml:space="preserve">importance of the legitimate aim </w:t>
      </w:r>
      <w:r w:rsidR="007D41FE" w:rsidRPr="007D41FE">
        <w:rPr>
          <w:rStyle w:val="apple-converted-space"/>
          <w:rFonts w:ascii="Times New Roman" w:hAnsi="Times New Roman" w:cs="Times New Roman"/>
          <w:bCs/>
          <w:sz w:val="24"/>
          <w:szCs w:val="24"/>
          <w:lang w:val="en-CA"/>
        </w:rPr>
        <w:t>pursued.</w:t>
      </w:r>
    </w:p>
    <w:p w14:paraId="11197EE6" w14:textId="73B4E24E" w:rsidR="00841968" w:rsidRPr="00273989" w:rsidRDefault="002F1239" w:rsidP="00273989">
      <w:pPr>
        <w:autoSpaceDE w:val="0"/>
        <w:autoSpaceDN w:val="0"/>
        <w:adjustRightInd w:val="0"/>
        <w:spacing w:after="0"/>
        <w:jc w:val="both"/>
        <w:rPr>
          <w:rFonts w:ascii="Times New Roman" w:hAnsi="Times New Roman" w:cs="Times New Roman"/>
          <w:sz w:val="24"/>
          <w:szCs w:val="24"/>
          <w:lang w:val="en-CA"/>
        </w:rPr>
      </w:pPr>
      <w:r w:rsidRPr="00272D7F">
        <w:rPr>
          <w:rFonts w:ascii="Times New Roman" w:hAnsi="Times New Roman" w:cs="Times New Roman"/>
          <w:sz w:val="24"/>
          <w:szCs w:val="24"/>
          <w:lang w:val="en-CA"/>
        </w:rPr>
        <w:t>However,</w:t>
      </w:r>
      <w:r w:rsidR="00272D7F" w:rsidRPr="00272D7F">
        <w:rPr>
          <w:rFonts w:ascii="Times New Roman" w:hAnsi="Times New Roman" w:cs="Times New Roman"/>
          <w:sz w:val="24"/>
          <w:szCs w:val="24"/>
          <w:lang w:val="en-CA"/>
        </w:rPr>
        <w:t xml:space="preserve"> </w:t>
      </w:r>
      <w:r w:rsidR="001922D4">
        <w:rPr>
          <w:rFonts w:ascii="Times New Roman" w:hAnsi="Times New Roman" w:cs="Times New Roman"/>
          <w:sz w:val="24"/>
          <w:szCs w:val="24"/>
          <w:lang w:val="en-CA"/>
        </w:rPr>
        <w:t>t</w:t>
      </w:r>
      <w:r w:rsidR="001922D4">
        <w:rPr>
          <w:rFonts w:ascii="Times New Roman" w:hAnsi="Times New Roman" w:cs="Times New Roman"/>
          <w:sz w:val="24"/>
          <w:szCs w:val="24"/>
          <w:lang w:val="en-US"/>
        </w:rPr>
        <w:t>he content of the proportionality principle in the Strasbourg</w:t>
      </w:r>
      <w:r w:rsidR="007D41FE">
        <w:rPr>
          <w:rFonts w:ascii="Times New Roman" w:hAnsi="Times New Roman" w:cs="Times New Roman"/>
          <w:sz w:val="24"/>
          <w:szCs w:val="24"/>
          <w:lang w:val="en-US"/>
        </w:rPr>
        <w:t xml:space="preserve"> Court’s</w:t>
      </w:r>
      <w:r w:rsidR="001922D4">
        <w:rPr>
          <w:rFonts w:ascii="Times New Roman" w:hAnsi="Times New Roman" w:cs="Times New Roman"/>
          <w:sz w:val="24"/>
          <w:szCs w:val="24"/>
          <w:lang w:val="en-US"/>
        </w:rPr>
        <w:t xml:space="preserve"> case law is not </w:t>
      </w:r>
      <w:r w:rsidR="001922D4" w:rsidRPr="007D41FE">
        <w:rPr>
          <w:rFonts w:ascii="Times New Roman" w:hAnsi="Times New Roman" w:cs="Times New Roman"/>
          <w:sz w:val="24"/>
          <w:szCs w:val="24"/>
          <w:lang w:val="en-US"/>
        </w:rPr>
        <w:t xml:space="preserve">always clear-cut, </w:t>
      </w:r>
      <w:r w:rsidR="00B85292">
        <w:rPr>
          <w:rFonts w:ascii="Times New Roman" w:hAnsi="Times New Roman" w:cs="Times New Roman"/>
          <w:sz w:val="24"/>
          <w:szCs w:val="24"/>
          <w:lang w:val="en-US"/>
        </w:rPr>
        <w:t>because</w:t>
      </w:r>
      <w:r w:rsidR="001922D4" w:rsidRPr="007D41FE">
        <w:rPr>
          <w:rFonts w:ascii="Times New Roman" w:hAnsi="Times New Roman" w:cs="Times New Roman"/>
          <w:sz w:val="24"/>
          <w:szCs w:val="24"/>
          <w:lang w:val="en-US"/>
        </w:rPr>
        <w:t xml:space="preserve"> </w:t>
      </w:r>
      <w:r w:rsidR="00272D7F" w:rsidRPr="007D41FE">
        <w:rPr>
          <w:rFonts w:ascii="Times New Roman" w:hAnsi="Times New Roman" w:cs="Times New Roman"/>
          <w:sz w:val="24"/>
          <w:szCs w:val="24"/>
          <w:lang w:val="en-CA"/>
        </w:rPr>
        <w:t>the Strasbourg Court does not systematically apply these criteria in</w:t>
      </w:r>
      <w:r w:rsidR="00272D7F" w:rsidRPr="00272D7F">
        <w:rPr>
          <w:rFonts w:ascii="Times New Roman" w:hAnsi="Times New Roman" w:cs="Times New Roman"/>
          <w:sz w:val="24"/>
          <w:szCs w:val="24"/>
          <w:lang w:val="en-CA"/>
        </w:rPr>
        <w:t xml:space="preserve"> each case and </w:t>
      </w:r>
      <w:r w:rsidR="003A3FDC">
        <w:rPr>
          <w:rFonts w:ascii="Times New Roman" w:hAnsi="Times New Roman" w:cs="Times New Roman"/>
          <w:sz w:val="24"/>
          <w:szCs w:val="24"/>
          <w:lang w:val="en-CA"/>
        </w:rPr>
        <w:t xml:space="preserve">even </w:t>
      </w:r>
      <w:r w:rsidR="00272D7F" w:rsidRPr="00272D7F">
        <w:rPr>
          <w:rFonts w:ascii="Times New Roman" w:hAnsi="Times New Roman" w:cs="Times New Roman"/>
          <w:sz w:val="24"/>
          <w:szCs w:val="24"/>
          <w:lang w:val="en-CA"/>
        </w:rPr>
        <w:t>if the criteria are applied, they are hardly ever examined separately.</w:t>
      </w:r>
      <w:r w:rsidR="003A3FDC">
        <w:rPr>
          <w:rFonts w:ascii="Times New Roman" w:hAnsi="Times New Roman" w:cs="Times New Roman"/>
          <w:sz w:val="24"/>
          <w:szCs w:val="24"/>
          <w:lang w:val="en-CA"/>
        </w:rPr>
        <w:t xml:space="preserve"> </w:t>
      </w:r>
      <w:r w:rsidR="0022227A">
        <w:rPr>
          <w:rFonts w:ascii="Times New Roman" w:hAnsi="Times New Roman" w:cs="Times New Roman"/>
          <w:sz w:val="24"/>
          <w:szCs w:val="24"/>
          <w:lang w:val="en-CA"/>
        </w:rPr>
        <w:t>In addition, these criteria also</w:t>
      </w:r>
      <w:r w:rsidR="00C23B4A">
        <w:rPr>
          <w:rFonts w:ascii="Times New Roman" w:hAnsi="Times New Roman" w:cs="Times New Roman"/>
          <w:sz w:val="24"/>
          <w:szCs w:val="24"/>
          <w:lang w:val="en-CA"/>
        </w:rPr>
        <w:t xml:space="preserve"> differ </w:t>
      </w:r>
      <w:r w:rsidR="003A3FDC">
        <w:rPr>
          <w:rFonts w:ascii="Times New Roman" w:hAnsi="Times New Roman" w:cs="Times New Roman"/>
          <w:sz w:val="24"/>
          <w:szCs w:val="24"/>
          <w:lang w:val="en-CA"/>
        </w:rPr>
        <w:t>in</w:t>
      </w:r>
      <w:r w:rsidR="0022227A">
        <w:rPr>
          <w:rFonts w:ascii="Times New Roman" w:hAnsi="Times New Roman" w:cs="Times New Roman"/>
          <w:sz w:val="24"/>
          <w:szCs w:val="24"/>
          <w:lang w:val="en-CA"/>
        </w:rPr>
        <w:t xml:space="preserve"> their relative importance.</w:t>
      </w:r>
      <w:r w:rsidR="005E4FB6">
        <w:rPr>
          <w:rFonts w:ascii="Times New Roman" w:hAnsi="Times New Roman" w:cs="Times New Roman"/>
          <w:sz w:val="24"/>
          <w:szCs w:val="24"/>
          <w:lang w:val="en-CA"/>
        </w:rPr>
        <w:t xml:space="preserve"> W</w:t>
      </w:r>
      <w:r w:rsidR="0022227A">
        <w:rPr>
          <w:rFonts w:ascii="Times New Roman" w:hAnsi="Times New Roman" w:cs="Times New Roman"/>
          <w:sz w:val="24"/>
          <w:szCs w:val="24"/>
          <w:lang w:val="en-CA"/>
        </w:rPr>
        <w:t>i</w:t>
      </w:r>
      <w:r w:rsidR="00841968">
        <w:rPr>
          <w:rFonts w:ascii="Times New Roman" w:hAnsi="Times New Roman" w:cs="Times New Roman"/>
          <w:sz w:val="24"/>
          <w:szCs w:val="24"/>
          <w:lang w:val="en-CA"/>
        </w:rPr>
        <w:t xml:space="preserve">th regard to </w:t>
      </w:r>
      <w:r w:rsidR="00F02896">
        <w:rPr>
          <w:rFonts w:ascii="Times New Roman" w:hAnsi="Times New Roman" w:cs="Times New Roman"/>
          <w:sz w:val="24"/>
          <w:szCs w:val="24"/>
          <w:lang w:val="en-CA"/>
        </w:rPr>
        <w:t>freedom-restricting measures, neit</w:t>
      </w:r>
      <w:r w:rsidR="00841968">
        <w:rPr>
          <w:rFonts w:ascii="Times New Roman" w:hAnsi="Times New Roman" w:cs="Times New Roman"/>
          <w:sz w:val="24"/>
          <w:szCs w:val="24"/>
          <w:lang w:val="en-CA"/>
        </w:rPr>
        <w:t xml:space="preserve">her the necessity criterion nor the </w:t>
      </w:r>
      <w:r w:rsidR="00841968" w:rsidRPr="008741AD">
        <w:rPr>
          <w:rFonts w:ascii="Times New Roman" w:hAnsi="Times New Roman" w:cs="Times New Roman"/>
          <w:sz w:val="24"/>
          <w:szCs w:val="24"/>
          <w:lang w:val="en-CA"/>
        </w:rPr>
        <w:t xml:space="preserve">suitability criterion </w:t>
      </w:r>
      <w:r w:rsidR="001551B3">
        <w:rPr>
          <w:rFonts w:ascii="Times New Roman" w:hAnsi="Times New Roman" w:cs="Times New Roman"/>
          <w:sz w:val="24"/>
          <w:szCs w:val="24"/>
          <w:lang w:val="en-CA"/>
        </w:rPr>
        <w:t>is</w:t>
      </w:r>
      <w:r w:rsidR="00841968">
        <w:rPr>
          <w:rFonts w:ascii="Times New Roman" w:hAnsi="Times New Roman" w:cs="Times New Roman"/>
          <w:sz w:val="24"/>
          <w:szCs w:val="24"/>
          <w:lang w:val="en-CA"/>
        </w:rPr>
        <w:t xml:space="preserve"> </w:t>
      </w:r>
      <w:r w:rsidR="005E4FB6">
        <w:rPr>
          <w:rFonts w:ascii="Times New Roman" w:hAnsi="Times New Roman" w:cs="Times New Roman"/>
          <w:sz w:val="24"/>
          <w:szCs w:val="24"/>
          <w:lang w:val="en-CA"/>
        </w:rPr>
        <w:t xml:space="preserve">often used </w:t>
      </w:r>
      <w:r w:rsidR="00841968">
        <w:rPr>
          <w:rFonts w:ascii="Times New Roman" w:hAnsi="Times New Roman" w:cs="Times New Roman"/>
          <w:sz w:val="24"/>
          <w:szCs w:val="24"/>
          <w:lang w:val="en-CA"/>
        </w:rPr>
        <w:t xml:space="preserve">when analysing the proportionality of </w:t>
      </w:r>
      <w:r w:rsidR="005E4FB6">
        <w:rPr>
          <w:rFonts w:ascii="Times New Roman" w:hAnsi="Times New Roman" w:cs="Times New Roman"/>
          <w:sz w:val="24"/>
          <w:szCs w:val="24"/>
          <w:lang w:val="en-CA"/>
        </w:rPr>
        <w:t>th</w:t>
      </w:r>
      <w:r w:rsidR="00B85292">
        <w:rPr>
          <w:rFonts w:ascii="Times New Roman" w:hAnsi="Times New Roman" w:cs="Times New Roman"/>
          <w:sz w:val="24"/>
          <w:szCs w:val="24"/>
          <w:lang w:val="en-CA"/>
        </w:rPr>
        <w:t>at</w:t>
      </w:r>
      <w:r w:rsidR="005E4FB6">
        <w:rPr>
          <w:rFonts w:ascii="Times New Roman" w:hAnsi="Times New Roman" w:cs="Times New Roman"/>
          <w:sz w:val="24"/>
          <w:szCs w:val="24"/>
          <w:lang w:val="en-CA"/>
        </w:rPr>
        <w:t xml:space="preserve"> </w:t>
      </w:r>
      <w:r w:rsidR="00841968">
        <w:rPr>
          <w:rFonts w:ascii="Times New Roman" w:hAnsi="Times New Roman" w:cs="Times New Roman"/>
          <w:sz w:val="24"/>
          <w:szCs w:val="24"/>
          <w:lang w:val="en-CA"/>
        </w:rPr>
        <w:t>measure</w:t>
      </w:r>
      <w:r w:rsidR="008741AD">
        <w:rPr>
          <w:rStyle w:val="Odwoanieprzypisudolnego"/>
          <w:rFonts w:ascii="Times New Roman" w:hAnsi="Times New Roman" w:cs="Times New Roman"/>
          <w:sz w:val="24"/>
          <w:szCs w:val="24"/>
          <w:lang w:val="en-CA"/>
        </w:rPr>
        <w:footnoteReference w:id="57"/>
      </w:r>
      <w:r w:rsidR="008741AD">
        <w:rPr>
          <w:rFonts w:ascii="Times New Roman" w:hAnsi="Times New Roman" w:cs="Times New Roman"/>
          <w:sz w:val="24"/>
          <w:szCs w:val="24"/>
          <w:lang w:val="en-CA"/>
        </w:rPr>
        <w:t xml:space="preserve">. </w:t>
      </w:r>
      <w:r w:rsidR="005E4FB6">
        <w:rPr>
          <w:rFonts w:ascii="Times New Roman" w:hAnsi="Times New Roman" w:cs="Times New Roman"/>
          <w:sz w:val="24"/>
          <w:szCs w:val="24"/>
          <w:lang w:val="en-CA"/>
        </w:rPr>
        <w:t xml:space="preserve">Therefore, </w:t>
      </w:r>
      <w:r w:rsidR="00150F01">
        <w:rPr>
          <w:rFonts w:ascii="Times New Roman" w:hAnsi="Times New Roman" w:cs="Times New Roman"/>
          <w:sz w:val="24"/>
          <w:szCs w:val="24"/>
          <w:lang w:val="en-CA"/>
        </w:rPr>
        <w:t>it can be tentatively stated that these</w:t>
      </w:r>
      <w:r w:rsidR="005E4FB6">
        <w:rPr>
          <w:rFonts w:ascii="Times New Roman" w:hAnsi="Times New Roman" w:cs="Times New Roman"/>
          <w:sz w:val="24"/>
          <w:szCs w:val="24"/>
          <w:lang w:val="en-CA"/>
        </w:rPr>
        <w:t xml:space="preserve"> criteria </w:t>
      </w:r>
      <w:r w:rsidR="00150F01">
        <w:rPr>
          <w:rFonts w:ascii="Times New Roman" w:hAnsi="Times New Roman" w:cs="Times New Roman"/>
          <w:sz w:val="24"/>
          <w:szCs w:val="24"/>
          <w:lang w:val="en-CA"/>
        </w:rPr>
        <w:t>seem to be</w:t>
      </w:r>
      <w:r w:rsidR="005E4FB6">
        <w:rPr>
          <w:rFonts w:ascii="Times New Roman" w:hAnsi="Times New Roman" w:cs="Times New Roman"/>
          <w:sz w:val="24"/>
          <w:szCs w:val="24"/>
          <w:lang w:val="en-CA"/>
        </w:rPr>
        <w:t xml:space="preserve"> of </w:t>
      </w:r>
      <w:r w:rsidR="00150F01">
        <w:rPr>
          <w:rFonts w:ascii="Times New Roman" w:hAnsi="Times New Roman" w:cs="Times New Roman"/>
          <w:sz w:val="24"/>
          <w:szCs w:val="24"/>
          <w:lang w:val="en-CA"/>
        </w:rPr>
        <w:t>less</w:t>
      </w:r>
      <w:r w:rsidR="005E4FB6">
        <w:rPr>
          <w:rFonts w:ascii="Times New Roman" w:hAnsi="Times New Roman" w:cs="Times New Roman"/>
          <w:sz w:val="24"/>
          <w:szCs w:val="24"/>
          <w:lang w:val="en-CA"/>
        </w:rPr>
        <w:t xml:space="preserve"> impor</w:t>
      </w:r>
      <w:r w:rsidR="00F02896">
        <w:rPr>
          <w:rFonts w:ascii="Times New Roman" w:hAnsi="Times New Roman" w:cs="Times New Roman"/>
          <w:sz w:val="24"/>
          <w:szCs w:val="24"/>
          <w:lang w:val="en-CA"/>
        </w:rPr>
        <w:t xml:space="preserve">tance. </w:t>
      </w:r>
      <w:r w:rsidR="00077218">
        <w:rPr>
          <w:rFonts w:ascii="Times New Roman" w:hAnsi="Times New Roman" w:cs="Times New Roman"/>
          <w:sz w:val="24"/>
          <w:szCs w:val="24"/>
          <w:lang w:val="en-US"/>
        </w:rPr>
        <w:t>For instance, i</w:t>
      </w:r>
      <w:r w:rsidR="00077218" w:rsidRPr="0070454A">
        <w:rPr>
          <w:rFonts w:ascii="Times New Roman" w:hAnsi="Times New Roman" w:cs="Times New Roman"/>
          <w:sz w:val="24"/>
          <w:szCs w:val="24"/>
          <w:lang w:val="en-US"/>
        </w:rPr>
        <w:t xml:space="preserve">n </w:t>
      </w:r>
      <w:r w:rsidR="00E86D50">
        <w:rPr>
          <w:rFonts w:ascii="Times New Roman" w:hAnsi="Times New Roman" w:cs="Times New Roman"/>
          <w:sz w:val="24"/>
          <w:szCs w:val="24"/>
          <w:lang w:val="en-US"/>
        </w:rPr>
        <w:t xml:space="preserve">the above-mentioned </w:t>
      </w:r>
      <w:r w:rsidR="00E86D50" w:rsidRPr="005E5E31">
        <w:rPr>
          <w:rFonts w:ascii="Times New Roman" w:hAnsi="Times New Roman" w:cs="Times New Roman"/>
          <w:sz w:val="24"/>
          <w:szCs w:val="24"/>
          <w:lang w:val="en-US"/>
        </w:rPr>
        <w:t xml:space="preserve">cases </w:t>
      </w:r>
      <w:r w:rsidR="00077218" w:rsidRPr="005E5E31">
        <w:rPr>
          <w:rFonts w:ascii="Times New Roman" w:hAnsi="Times New Roman" w:cs="Times New Roman"/>
          <w:i/>
          <w:sz w:val="24"/>
          <w:szCs w:val="24"/>
          <w:lang w:val="en-US"/>
        </w:rPr>
        <w:t>Landvreugd</w:t>
      </w:r>
      <w:r w:rsidR="00077218" w:rsidRPr="005E5E31">
        <w:rPr>
          <w:rFonts w:ascii="Times New Roman" w:hAnsi="Times New Roman" w:cs="Times New Roman"/>
          <w:sz w:val="24"/>
          <w:szCs w:val="24"/>
          <w:lang w:val="en-US"/>
        </w:rPr>
        <w:t xml:space="preserve"> and </w:t>
      </w:r>
      <w:r w:rsidR="00077218" w:rsidRPr="005E5E31">
        <w:rPr>
          <w:rFonts w:ascii="Times New Roman" w:hAnsi="Times New Roman" w:cs="Times New Roman"/>
          <w:i/>
          <w:sz w:val="24"/>
          <w:szCs w:val="24"/>
          <w:lang w:val="en-US"/>
        </w:rPr>
        <w:t>Olivieira</w:t>
      </w:r>
      <w:r w:rsidR="00077218" w:rsidRPr="005E5E31">
        <w:rPr>
          <w:rFonts w:ascii="Times New Roman" w:hAnsi="Times New Roman" w:cs="Times New Roman"/>
          <w:sz w:val="24"/>
          <w:szCs w:val="24"/>
          <w:lang w:val="en-US"/>
        </w:rPr>
        <w:t>,</w:t>
      </w:r>
      <w:r w:rsidR="00077218" w:rsidRPr="005E5E31">
        <w:rPr>
          <w:rFonts w:ascii="Times New Roman" w:hAnsi="Times New Roman" w:cs="Times New Roman"/>
          <w:color w:val="000000"/>
          <w:sz w:val="24"/>
          <w:szCs w:val="24"/>
          <w:shd w:val="clear" w:color="auto" w:fill="FFFFFF"/>
          <w:lang w:val="en-CA"/>
        </w:rPr>
        <w:t xml:space="preserve"> </w:t>
      </w:r>
      <w:r w:rsidR="00077218" w:rsidRPr="005E5E31">
        <w:rPr>
          <w:rFonts w:ascii="Times New Roman" w:hAnsi="Times New Roman" w:cs="Times New Roman"/>
          <w:sz w:val="24"/>
          <w:szCs w:val="24"/>
          <w:lang w:val="en-US"/>
        </w:rPr>
        <w:t>the Strasbourg Court refer</w:t>
      </w:r>
      <w:r w:rsidR="00E86D50" w:rsidRPr="005E5E31">
        <w:rPr>
          <w:rFonts w:ascii="Times New Roman" w:hAnsi="Times New Roman" w:cs="Times New Roman"/>
          <w:sz w:val="24"/>
          <w:szCs w:val="24"/>
          <w:lang w:val="en-US"/>
        </w:rPr>
        <w:t>red</w:t>
      </w:r>
      <w:r w:rsidR="00077218" w:rsidRPr="005E5E31">
        <w:rPr>
          <w:rFonts w:ascii="Times New Roman" w:hAnsi="Times New Roman" w:cs="Times New Roman"/>
          <w:sz w:val="24"/>
          <w:szCs w:val="24"/>
          <w:lang w:val="en-US"/>
        </w:rPr>
        <w:t xml:space="preserve"> </w:t>
      </w:r>
      <w:r w:rsidR="005E4FB6" w:rsidRPr="005E5E31">
        <w:rPr>
          <w:rFonts w:ascii="Times New Roman" w:hAnsi="Times New Roman" w:cs="Times New Roman"/>
          <w:sz w:val="24"/>
          <w:szCs w:val="24"/>
          <w:lang w:val="en-US"/>
        </w:rPr>
        <w:t>to</w:t>
      </w:r>
      <w:r w:rsidR="005E5E31" w:rsidRPr="005E5E31">
        <w:rPr>
          <w:rFonts w:ascii="Times New Roman" w:hAnsi="Times New Roman" w:cs="Times New Roman"/>
          <w:sz w:val="24"/>
          <w:szCs w:val="24"/>
          <w:lang w:val="en-US"/>
        </w:rPr>
        <w:t xml:space="preserve"> none of the c</w:t>
      </w:r>
      <w:r w:rsidR="005E4FB6" w:rsidRPr="005E5E31">
        <w:rPr>
          <w:rFonts w:ascii="Times New Roman" w:hAnsi="Times New Roman" w:cs="Times New Roman"/>
          <w:sz w:val="24"/>
          <w:szCs w:val="24"/>
          <w:lang w:val="en-US"/>
        </w:rPr>
        <w:t>riteria</w:t>
      </w:r>
      <w:r w:rsidR="00E86D50" w:rsidRPr="005E5E31">
        <w:rPr>
          <w:rFonts w:ascii="Times New Roman" w:hAnsi="Times New Roman" w:cs="Times New Roman"/>
          <w:sz w:val="24"/>
          <w:szCs w:val="24"/>
          <w:lang w:val="en-US"/>
        </w:rPr>
        <w:t>.</w:t>
      </w:r>
      <w:r w:rsidR="00572B15">
        <w:rPr>
          <w:rFonts w:ascii="Times New Roman" w:hAnsi="Times New Roman" w:cs="Times New Roman"/>
          <w:sz w:val="24"/>
          <w:szCs w:val="24"/>
          <w:lang w:val="en-US"/>
        </w:rPr>
        <w:t xml:space="preserve"> However, as to the necessity criterion, this can be </w:t>
      </w:r>
      <w:r w:rsidR="00441BD4" w:rsidRPr="00441BD4">
        <w:rPr>
          <w:rFonts w:ascii="Times New Roman" w:hAnsi="Times New Roman" w:cs="Times New Roman"/>
          <w:sz w:val="24"/>
          <w:szCs w:val="24"/>
          <w:lang w:val="en-US"/>
        </w:rPr>
        <w:t xml:space="preserve">explained by the fact </w:t>
      </w:r>
      <w:r w:rsidR="00572B15">
        <w:rPr>
          <w:rFonts w:ascii="Times New Roman" w:hAnsi="Times New Roman" w:cs="Times New Roman"/>
          <w:sz w:val="24"/>
          <w:szCs w:val="24"/>
          <w:lang w:val="en-US"/>
        </w:rPr>
        <w:t>that</w:t>
      </w:r>
      <w:r w:rsidR="00077218" w:rsidRPr="00441BD4">
        <w:rPr>
          <w:rFonts w:ascii="Times New Roman" w:hAnsi="Times New Roman" w:cs="Times New Roman"/>
          <w:sz w:val="24"/>
          <w:szCs w:val="24"/>
          <w:lang w:val="en-US"/>
        </w:rPr>
        <w:t xml:space="preserve"> freedom-restricting measures are</w:t>
      </w:r>
      <w:r w:rsidR="00150F01">
        <w:rPr>
          <w:rFonts w:ascii="Times New Roman" w:hAnsi="Times New Roman" w:cs="Times New Roman"/>
          <w:sz w:val="24"/>
          <w:szCs w:val="24"/>
          <w:lang w:val="en-US"/>
        </w:rPr>
        <w:t xml:space="preserve"> </w:t>
      </w:r>
      <w:r w:rsidR="00077218" w:rsidRPr="00441BD4">
        <w:rPr>
          <w:rFonts w:ascii="Times New Roman" w:hAnsi="Times New Roman" w:cs="Times New Roman"/>
          <w:sz w:val="24"/>
          <w:szCs w:val="24"/>
          <w:lang w:val="en-US"/>
        </w:rPr>
        <w:t>already possible when</w:t>
      </w:r>
      <w:r w:rsidR="00077218">
        <w:rPr>
          <w:rFonts w:ascii="Times New Roman" w:hAnsi="Times New Roman" w:cs="Times New Roman"/>
          <w:sz w:val="24"/>
          <w:szCs w:val="24"/>
          <w:lang w:val="en-US"/>
        </w:rPr>
        <w:t xml:space="preserve"> ‘justified in a democratic society’</w:t>
      </w:r>
      <w:r w:rsidR="00323DEF">
        <w:rPr>
          <w:rFonts w:ascii="Times New Roman" w:hAnsi="Times New Roman" w:cs="Times New Roman"/>
          <w:sz w:val="24"/>
          <w:szCs w:val="24"/>
          <w:lang w:val="en-US"/>
        </w:rPr>
        <w:t>,</w:t>
      </w:r>
      <w:r w:rsidR="00150F01">
        <w:rPr>
          <w:rFonts w:ascii="Times New Roman" w:hAnsi="Times New Roman" w:cs="Times New Roman"/>
          <w:sz w:val="24"/>
          <w:szCs w:val="24"/>
          <w:lang w:val="en-US"/>
        </w:rPr>
        <w:t xml:space="preserve"> </w:t>
      </w:r>
      <w:r w:rsidR="00323DEF">
        <w:rPr>
          <w:rFonts w:ascii="Times New Roman" w:hAnsi="Times New Roman" w:cs="Times New Roman"/>
          <w:sz w:val="24"/>
          <w:szCs w:val="24"/>
          <w:lang w:val="en-US"/>
        </w:rPr>
        <w:t>according to</w:t>
      </w:r>
      <w:r w:rsidR="00150F01">
        <w:rPr>
          <w:rFonts w:ascii="Times New Roman" w:hAnsi="Times New Roman" w:cs="Times New Roman"/>
          <w:sz w:val="24"/>
          <w:szCs w:val="24"/>
          <w:lang w:val="en-US"/>
        </w:rPr>
        <w:t xml:space="preserve"> the fourth paragraph of </w:t>
      </w:r>
      <w:r w:rsidR="00571696">
        <w:rPr>
          <w:rFonts w:ascii="Times New Roman" w:hAnsi="Times New Roman" w:cs="Times New Roman"/>
          <w:sz w:val="24"/>
          <w:szCs w:val="24"/>
          <w:lang w:val="en-US"/>
        </w:rPr>
        <w:t>Article</w:t>
      </w:r>
      <w:r w:rsidR="00150F01">
        <w:rPr>
          <w:rFonts w:ascii="Times New Roman" w:hAnsi="Times New Roman" w:cs="Times New Roman"/>
          <w:sz w:val="24"/>
          <w:szCs w:val="24"/>
          <w:lang w:val="en-US"/>
        </w:rPr>
        <w:t xml:space="preserve"> 2 FAP. This only requires the measure to be proportionate, </w:t>
      </w:r>
      <w:r w:rsidR="00077218">
        <w:rPr>
          <w:rFonts w:ascii="Times New Roman" w:hAnsi="Times New Roman" w:cs="Times New Roman"/>
          <w:sz w:val="24"/>
          <w:szCs w:val="24"/>
          <w:lang w:val="en-US"/>
        </w:rPr>
        <w:t>without the necessity of responding to a pressing social need</w:t>
      </w:r>
      <w:r w:rsidR="00150F01">
        <w:rPr>
          <w:rFonts w:ascii="Times New Roman" w:hAnsi="Times New Roman" w:cs="Times New Roman"/>
          <w:sz w:val="24"/>
          <w:szCs w:val="24"/>
          <w:lang w:val="en-US"/>
        </w:rPr>
        <w:t xml:space="preserve"> as well</w:t>
      </w:r>
      <w:r w:rsidR="00150F01">
        <w:rPr>
          <w:rStyle w:val="Odwoanieprzypisudolnego"/>
          <w:rFonts w:ascii="Times New Roman" w:hAnsi="Times New Roman" w:cs="Times New Roman"/>
          <w:sz w:val="24"/>
          <w:szCs w:val="24"/>
          <w:lang w:val="en-US"/>
        </w:rPr>
        <w:footnoteReference w:id="58"/>
      </w:r>
      <w:r w:rsidR="00077218">
        <w:rPr>
          <w:rFonts w:ascii="Times New Roman" w:hAnsi="Times New Roman" w:cs="Times New Roman"/>
          <w:sz w:val="24"/>
          <w:szCs w:val="24"/>
          <w:lang w:val="en-US"/>
        </w:rPr>
        <w:t>.</w:t>
      </w:r>
      <w:r w:rsidR="00077218" w:rsidRPr="00016D72">
        <w:rPr>
          <w:rFonts w:ascii="Times New Roman" w:hAnsi="Times New Roman" w:cs="Times New Roman"/>
          <w:sz w:val="24"/>
          <w:szCs w:val="24"/>
          <w:lang w:val="en-US"/>
        </w:rPr>
        <w:t xml:space="preserve"> </w:t>
      </w:r>
      <w:r w:rsidR="00077218">
        <w:rPr>
          <w:rFonts w:ascii="Times New Roman" w:hAnsi="Times New Roman" w:cs="Times New Roman"/>
          <w:sz w:val="24"/>
          <w:szCs w:val="24"/>
          <w:lang w:val="en-US"/>
        </w:rPr>
        <w:t xml:space="preserve">In </w:t>
      </w:r>
      <w:r w:rsidR="00077218" w:rsidRPr="00A00113">
        <w:rPr>
          <w:rFonts w:ascii="Times New Roman" w:hAnsi="Times New Roman" w:cs="Times New Roman"/>
          <w:i/>
          <w:sz w:val="24"/>
          <w:szCs w:val="24"/>
          <w:lang w:val="en-US"/>
        </w:rPr>
        <w:t>Landvreugd</w:t>
      </w:r>
      <w:r w:rsidR="00077218">
        <w:rPr>
          <w:rFonts w:ascii="Times New Roman" w:hAnsi="Times New Roman" w:cs="Times New Roman"/>
          <w:sz w:val="24"/>
          <w:szCs w:val="24"/>
          <w:lang w:val="en-US"/>
        </w:rPr>
        <w:t xml:space="preserve"> and </w:t>
      </w:r>
      <w:r w:rsidR="00077218" w:rsidRPr="00A00113">
        <w:rPr>
          <w:rFonts w:ascii="Times New Roman" w:hAnsi="Times New Roman" w:cs="Times New Roman"/>
          <w:i/>
          <w:sz w:val="24"/>
          <w:szCs w:val="24"/>
          <w:lang w:val="en-US"/>
        </w:rPr>
        <w:t>Olivieira</w:t>
      </w:r>
      <w:r w:rsidR="00077218">
        <w:rPr>
          <w:rFonts w:ascii="Times New Roman" w:hAnsi="Times New Roman" w:cs="Times New Roman"/>
          <w:sz w:val="24"/>
          <w:szCs w:val="24"/>
          <w:lang w:val="en-US"/>
        </w:rPr>
        <w:t xml:space="preserve">, for </w:t>
      </w:r>
      <w:r w:rsidR="00441BD4">
        <w:rPr>
          <w:rFonts w:ascii="Times New Roman" w:hAnsi="Times New Roman" w:cs="Times New Roman"/>
          <w:sz w:val="24"/>
          <w:szCs w:val="24"/>
          <w:lang w:val="en-US"/>
        </w:rPr>
        <w:lastRenderedPageBreak/>
        <w:t>example</w:t>
      </w:r>
      <w:r w:rsidR="00077218">
        <w:rPr>
          <w:rFonts w:ascii="Times New Roman" w:hAnsi="Times New Roman" w:cs="Times New Roman"/>
          <w:sz w:val="24"/>
          <w:szCs w:val="24"/>
          <w:lang w:val="en-US"/>
        </w:rPr>
        <w:t xml:space="preserve">, </w:t>
      </w:r>
      <w:r w:rsidR="00077218" w:rsidRPr="007D21F7">
        <w:rPr>
          <w:rFonts w:ascii="Times New Roman" w:hAnsi="Times New Roman" w:cs="Times New Roman"/>
          <w:sz w:val="24"/>
          <w:szCs w:val="24"/>
          <w:lang w:val="en-CA"/>
        </w:rPr>
        <w:t xml:space="preserve">the </w:t>
      </w:r>
      <w:r w:rsidR="00077218">
        <w:rPr>
          <w:rFonts w:ascii="Times New Roman" w:hAnsi="Times New Roman" w:cs="Times New Roman"/>
          <w:sz w:val="24"/>
          <w:szCs w:val="24"/>
          <w:lang w:val="en-CA"/>
        </w:rPr>
        <w:t xml:space="preserve">Strasbourg </w:t>
      </w:r>
      <w:r w:rsidR="00077218" w:rsidRPr="007D21F7">
        <w:rPr>
          <w:rFonts w:ascii="Times New Roman" w:hAnsi="Times New Roman" w:cs="Times New Roman"/>
          <w:sz w:val="24"/>
          <w:szCs w:val="24"/>
          <w:lang w:val="en-CA"/>
        </w:rPr>
        <w:t xml:space="preserve">Court </w:t>
      </w:r>
      <w:r w:rsidR="00077218" w:rsidRPr="00AD161A">
        <w:rPr>
          <w:rFonts w:ascii="Times New Roman" w:hAnsi="Times New Roman" w:cs="Times New Roman"/>
          <w:sz w:val="24"/>
          <w:szCs w:val="24"/>
          <w:lang w:val="en-CA"/>
        </w:rPr>
        <w:t>applied</w:t>
      </w:r>
      <w:r w:rsidR="00077218">
        <w:rPr>
          <w:rFonts w:ascii="Times New Roman" w:hAnsi="Times New Roman" w:cs="Times New Roman"/>
          <w:sz w:val="24"/>
          <w:szCs w:val="24"/>
          <w:lang w:val="en-CA"/>
        </w:rPr>
        <w:t xml:space="preserve"> the fourth </w:t>
      </w:r>
      <w:r w:rsidR="00841968">
        <w:rPr>
          <w:rFonts w:ascii="Times New Roman" w:hAnsi="Times New Roman" w:cs="Times New Roman"/>
          <w:sz w:val="24"/>
          <w:szCs w:val="24"/>
          <w:lang w:val="en-CA"/>
        </w:rPr>
        <w:t xml:space="preserve">paragraph of </w:t>
      </w:r>
      <w:r w:rsidR="00571696">
        <w:rPr>
          <w:rFonts w:ascii="Times New Roman" w:hAnsi="Times New Roman" w:cs="Times New Roman"/>
          <w:sz w:val="24"/>
          <w:szCs w:val="24"/>
          <w:lang w:val="en-CA"/>
        </w:rPr>
        <w:t>Article</w:t>
      </w:r>
      <w:r w:rsidR="00841968">
        <w:rPr>
          <w:rFonts w:ascii="Times New Roman" w:hAnsi="Times New Roman" w:cs="Times New Roman"/>
          <w:sz w:val="24"/>
          <w:szCs w:val="24"/>
          <w:lang w:val="en-CA"/>
        </w:rPr>
        <w:t xml:space="preserve"> 2 FAP</w:t>
      </w:r>
      <w:r w:rsidR="00572B15">
        <w:rPr>
          <w:rFonts w:ascii="Times New Roman" w:hAnsi="Times New Roman" w:cs="Times New Roman"/>
          <w:sz w:val="24"/>
          <w:szCs w:val="24"/>
          <w:lang w:val="en-CA"/>
        </w:rPr>
        <w:t xml:space="preserve"> and it </w:t>
      </w:r>
      <w:r w:rsidR="00841968">
        <w:rPr>
          <w:rFonts w:ascii="Times New Roman" w:hAnsi="Times New Roman" w:cs="Times New Roman"/>
          <w:sz w:val="24"/>
          <w:szCs w:val="24"/>
          <w:lang w:val="en-CA"/>
        </w:rPr>
        <w:t xml:space="preserve">only </w:t>
      </w:r>
      <w:r w:rsidR="00077218">
        <w:rPr>
          <w:rFonts w:ascii="Times New Roman" w:hAnsi="Times New Roman" w:cs="Times New Roman"/>
          <w:sz w:val="24"/>
          <w:szCs w:val="24"/>
          <w:lang w:val="en-CA"/>
        </w:rPr>
        <w:t>assessed whether the restriction complained of was ‘</w:t>
      </w:r>
      <w:r w:rsidR="00150F01">
        <w:rPr>
          <w:rFonts w:ascii="Times New Roman" w:hAnsi="Times New Roman" w:cs="Times New Roman"/>
          <w:sz w:val="24"/>
          <w:szCs w:val="24"/>
          <w:lang w:val="en-CA"/>
        </w:rPr>
        <w:t>not disproportionate’</w:t>
      </w:r>
      <w:r w:rsidR="00077218">
        <w:rPr>
          <w:rFonts w:ascii="Times New Roman" w:hAnsi="Times New Roman" w:cs="Times New Roman"/>
          <w:sz w:val="24"/>
          <w:szCs w:val="24"/>
          <w:lang w:val="en-CA"/>
        </w:rPr>
        <w:t xml:space="preserve">, without examining whether there was a </w:t>
      </w:r>
      <w:r w:rsidR="00201A76">
        <w:rPr>
          <w:rFonts w:ascii="Times New Roman" w:hAnsi="Times New Roman" w:cs="Times New Roman"/>
          <w:sz w:val="24"/>
          <w:szCs w:val="24"/>
          <w:lang w:val="en-CA"/>
        </w:rPr>
        <w:t>‘</w:t>
      </w:r>
      <w:r w:rsidR="00077218">
        <w:rPr>
          <w:rFonts w:ascii="Times New Roman" w:hAnsi="Times New Roman" w:cs="Times New Roman"/>
          <w:sz w:val="24"/>
          <w:szCs w:val="24"/>
          <w:lang w:val="en-CA"/>
        </w:rPr>
        <w:t>pressing social need</w:t>
      </w:r>
      <w:r w:rsidR="00201A76">
        <w:rPr>
          <w:rFonts w:ascii="Times New Roman" w:hAnsi="Times New Roman" w:cs="Times New Roman"/>
          <w:sz w:val="24"/>
          <w:szCs w:val="24"/>
          <w:lang w:val="en-CA"/>
        </w:rPr>
        <w:t>’</w:t>
      </w:r>
      <w:r w:rsidR="00077218" w:rsidRPr="000D27E1">
        <w:rPr>
          <w:rStyle w:val="Odwoanieprzypisudolnego"/>
          <w:rFonts w:ascii="Times New Roman" w:hAnsi="Times New Roman" w:cs="Times New Roman"/>
          <w:sz w:val="24"/>
          <w:szCs w:val="24"/>
          <w:lang w:val="en-US"/>
        </w:rPr>
        <w:t xml:space="preserve"> </w:t>
      </w:r>
      <w:r w:rsidR="00077218" w:rsidRPr="000D27E1">
        <w:rPr>
          <w:rStyle w:val="Odwoanieprzypisudolnego"/>
          <w:rFonts w:ascii="Times New Roman" w:hAnsi="Times New Roman" w:cs="Times New Roman"/>
          <w:sz w:val="24"/>
          <w:szCs w:val="24"/>
          <w:lang w:val="en-US"/>
        </w:rPr>
        <w:footnoteReference w:id="59"/>
      </w:r>
      <w:r w:rsidR="00273989">
        <w:rPr>
          <w:rFonts w:ascii="Times New Roman" w:hAnsi="Times New Roman" w:cs="Times New Roman"/>
          <w:sz w:val="24"/>
          <w:szCs w:val="24"/>
          <w:lang w:val="en-US"/>
        </w:rPr>
        <w:t>.</w:t>
      </w:r>
    </w:p>
    <w:p w14:paraId="0989D1AE" w14:textId="77777777" w:rsidR="00273989" w:rsidRPr="00273989" w:rsidRDefault="00273989" w:rsidP="00273989">
      <w:pPr>
        <w:autoSpaceDE w:val="0"/>
        <w:autoSpaceDN w:val="0"/>
        <w:adjustRightInd w:val="0"/>
        <w:spacing w:after="0"/>
        <w:jc w:val="both"/>
        <w:rPr>
          <w:rFonts w:ascii="Times New Roman" w:hAnsi="Times New Roman" w:cs="Times New Roman"/>
          <w:sz w:val="24"/>
          <w:szCs w:val="24"/>
          <w:lang w:val="en-CA"/>
        </w:rPr>
      </w:pPr>
    </w:p>
    <w:p w14:paraId="1D6F723A" w14:textId="3DCA21CD" w:rsidR="00077218" w:rsidRPr="00273989" w:rsidRDefault="00323DEF" w:rsidP="00841968">
      <w:pPr>
        <w:autoSpaceDE w:val="0"/>
        <w:autoSpaceDN w:val="0"/>
        <w:adjustRightInd w:val="0"/>
        <w:spacing w:after="0"/>
        <w:jc w:val="both"/>
        <w:rPr>
          <w:rFonts w:ascii="Times New Roman" w:hAnsi="Times New Roman" w:cs="Times New Roman"/>
          <w:b/>
          <w:sz w:val="24"/>
          <w:szCs w:val="24"/>
          <w:lang w:val="en-CA"/>
        </w:rPr>
      </w:pPr>
      <w:r>
        <w:rPr>
          <w:rFonts w:ascii="Times New Roman" w:hAnsi="Times New Roman" w:cs="Times New Roman"/>
          <w:sz w:val="24"/>
          <w:szCs w:val="24"/>
          <w:lang w:val="en-CA"/>
        </w:rPr>
        <w:t xml:space="preserve">The most used </w:t>
      </w:r>
      <w:r w:rsidR="00841968">
        <w:rPr>
          <w:rFonts w:ascii="Times New Roman" w:hAnsi="Times New Roman" w:cs="Times New Roman"/>
          <w:sz w:val="24"/>
          <w:szCs w:val="24"/>
          <w:lang w:val="en-CA"/>
        </w:rPr>
        <w:t>criterion of the proportionality test</w:t>
      </w:r>
      <w:r>
        <w:rPr>
          <w:rFonts w:ascii="Times New Roman" w:hAnsi="Times New Roman" w:cs="Times New Roman"/>
          <w:sz w:val="24"/>
          <w:szCs w:val="24"/>
          <w:lang w:val="en-CA"/>
        </w:rPr>
        <w:t xml:space="preserve"> </w:t>
      </w:r>
      <w:r w:rsidR="001551B3">
        <w:rPr>
          <w:rFonts w:ascii="Times New Roman" w:hAnsi="Times New Roman" w:cs="Times New Roman"/>
          <w:sz w:val="24"/>
          <w:szCs w:val="24"/>
          <w:lang w:val="en-CA"/>
        </w:rPr>
        <w:t xml:space="preserve">in the Strasbourg Court’s case law </w:t>
      </w:r>
      <w:r>
        <w:rPr>
          <w:rFonts w:ascii="Times New Roman" w:hAnsi="Times New Roman" w:cs="Times New Roman"/>
          <w:sz w:val="24"/>
          <w:szCs w:val="24"/>
          <w:lang w:val="en-CA"/>
        </w:rPr>
        <w:t>as to freedom-restricting measures</w:t>
      </w:r>
      <w:r w:rsidR="001551B3">
        <w:rPr>
          <w:rFonts w:ascii="Times New Roman" w:hAnsi="Times New Roman" w:cs="Times New Roman"/>
          <w:sz w:val="24"/>
          <w:szCs w:val="24"/>
          <w:lang w:val="en-CA"/>
        </w:rPr>
        <w:t>,</w:t>
      </w:r>
      <w:r>
        <w:rPr>
          <w:rFonts w:ascii="Times New Roman" w:hAnsi="Times New Roman" w:cs="Times New Roman"/>
          <w:sz w:val="24"/>
          <w:szCs w:val="24"/>
          <w:lang w:val="en-CA"/>
        </w:rPr>
        <w:t xml:space="preserve"> </w:t>
      </w:r>
      <w:r w:rsidR="00841968">
        <w:rPr>
          <w:rFonts w:ascii="Times New Roman" w:hAnsi="Times New Roman" w:cs="Times New Roman"/>
          <w:sz w:val="24"/>
          <w:szCs w:val="24"/>
          <w:lang w:val="en-US"/>
        </w:rPr>
        <w:t>i</w:t>
      </w:r>
      <w:r w:rsidR="00272F12">
        <w:rPr>
          <w:rFonts w:ascii="Times New Roman" w:hAnsi="Times New Roman" w:cs="Times New Roman"/>
          <w:sz w:val="24"/>
          <w:szCs w:val="24"/>
          <w:lang w:val="en-US"/>
        </w:rPr>
        <w:t xml:space="preserve">s </w:t>
      </w:r>
      <w:r w:rsidR="00841968">
        <w:rPr>
          <w:rStyle w:val="apple-converted-space"/>
          <w:rFonts w:ascii="Times New Roman" w:hAnsi="Times New Roman" w:cs="Times New Roman"/>
          <w:bCs/>
          <w:sz w:val="24"/>
          <w:szCs w:val="24"/>
          <w:lang w:val="en-CA"/>
        </w:rPr>
        <w:t xml:space="preserve">the </w:t>
      </w:r>
      <w:r w:rsidR="00841968" w:rsidRPr="00D57570">
        <w:rPr>
          <w:rStyle w:val="apple-converted-space"/>
          <w:rFonts w:ascii="Times New Roman" w:hAnsi="Times New Roman" w:cs="Times New Roman"/>
          <w:bCs/>
          <w:sz w:val="24"/>
          <w:szCs w:val="24"/>
          <w:lang w:val="en-CA"/>
        </w:rPr>
        <w:t>requirement of proportionality in the strict sense</w:t>
      </w:r>
      <w:r w:rsidR="00841968" w:rsidRPr="00D57570">
        <w:rPr>
          <w:rStyle w:val="Odwoanieprzypisudolnego"/>
          <w:rFonts w:ascii="Times New Roman" w:hAnsi="Times New Roman" w:cs="Times New Roman"/>
          <w:bCs/>
          <w:sz w:val="24"/>
          <w:szCs w:val="24"/>
          <w:lang w:val="en-CA"/>
        </w:rPr>
        <w:footnoteReference w:id="60"/>
      </w:r>
      <w:r w:rsidR="00841968" w:rsidRPr="00D57570">
        <w:rPr>
          <w:rStyle w:val="apple-converted-space"/>
          <w:rFonts w:ascii="Times New Roman" w:hAnsi="Times New Roman" w:cs="Times New Roman"/>
          <w:bCs/>
          <w:sz w:val="24"/>
          <w:szCs w:val="24"/>
          <w:lang w:val="en-CA"/>
        </w:rPr>
        <w:t>.</w:t>
      </w:r>
      <w:r w:rsidR="00572B15" w:rsidRPr="00D57570">
        <w:rPr>
          <w:rStyle w:val="apple-converted-space"/>
          <w:rFonts w:ascii="Times New Roman" w:hAnsi="Times New Roman" w:cs="Times New Roman"/>
          <w:bCs/>
          <w:sz w:val="24"/>
          <w:szCs w:val="24"/>
          <w:lang w:val="en-CA"/>
        </w:rPr>
        <w:t xml:space="preserve"> </w:t>
      </w:r>
      <w:r>
        <w:rPr>
          <w:rStyle w:val="apple-converted-space"/>
          <w:rFonts w:ascii="Times New Roman" w:hAnsi="Times New Roman" w:cs="Times New Roman"/>
          <w:bCs/>
          <w:sz w:val="24"/>
          <w:szCs w:val="24"/>
          <w:lang w:val="en-CA"/>
        </w:rPr>
        <w:t>According to Hidalgo</w:t>
      </w:r>
      <w:r w:rsidR="00471C40">
        <w:rPr>
          <w:rStyle w:val="apple-converted-space"/>
          <w:rFonts w:ascii="Times New Roman" w:hAnsi="Times New Roman" w:cs="Times New Roman"/>
          <w:bCs/>
          <w:sz w:val="24"/>
          <w:szCs w:val="24"/>
          <w:lang w:val="en-CA"/>
        </w:rPr>
        <w:t>, t</w:t>
      </w:r>
      <w:r w:rsidR="00DD584A">
        <w:rPr>
          <w:rStyle w:val="apple-converted-space"/>
          <w:rFonts w:ascii="Times New Roman" w:hAnsi="Times New Roman" w:cs="Times New Roman"/>
          <w:sz w:val="24"/>
          <w:szCs w:val="24"/>
          <w:lang w:val="en-CA"/>
        </w:rPr>
        <w:t xml:space="preserve">he Strasbourg Court </w:t>
      </w:r>
      <w:r w:rsidR="001551B3">
        <w:rPr>
          <w:rStyle w:val="apple-converted-space"/>
          <w:rFonts w:ascii="Times New Roman" w:hAnsi="Times New Roman" w:cs="Times New Roman"/>
          <w:sz w:val="24"/>
          <w:szCs w:val="24"/>
          <w:lang w:val="en-CA"/>
        </w:rPr>
        <w:t>has</w:t>
      </w:r>
      <w:r>
        <w:rPr>
          <w:rStyle w:val="apple-converted-space"/>
          <w:rFonts w:ascii="Times New Roman" w:hAnsi="Times New Roman" w:cs="Times New Roman"/>
          <w:sz w:val="24"/>
          <w:szCs w:val="24"/>
          <w:lang w:val="en-CA"/>
        </w:rPr>
        <w:t xml:space="preserve"> </w:t>
      </w:r>
      <w:r w:rsidR="00DD584A">
        <w:rPr>
          <w:rStyle w:val="apple-converted-space"/>
          <w:rFonts w:ascii="Times New Roman" w:hAnsi="Times New Roman" w:cs="Times New Roman"/>
          <w:sz w:val="24"/>
          <w:szCs w:val="24"/>
          <w:lang w:val="en-CA"/>
        </w:rPr>
        <w:t>often limit</w:t>
      </w:r>
      <w:r w:rsidR="001551B3">
        <w:rPr>
          <w:rStyle w:val="apple-converted-space"/>
          <w:rFonts w:ascii="Times New Roman" w:hAnsi="Times New Roman" w:cs="Times New Roman"/>
          <w:sz w:val="24"/>
          <w:szCs w:val="24"/>
          <w:lang w:val="en-CA"/>
        </w:rPr>
        <w:t>ed</w:t>
      </w:r>
      <w:r w:rsidR="00DD584A">
        <w:rPr>
          <w:rStyle w:val="apple-converted-space"/>
          <w:rFonts w:ascii="Times New Roman" w:hAnsi="Times New Roman" w:cs="Times New Roman"/>
          <w:sz w:val="24"/>
          <w:szCs w:val="24"/>
          <w:lang w:val="en-CA"/>
        </w:rPr>
        <w:t xml:space="preserve"> its proportionality review to </w:t>
      </w:r>
      <w:r w:rsidR="001551B3">
        <w:rPr>
          <w:rStyle w:val="apple-converted-space"/>
          <w:rFonts w:ascii="Times New Roman" w:hAnsi="Times New Roman" w:cs="Times New Roman"/>
          <w:sz w:val="24"/>
          <w:szCs w:val="24"/>
          <w:lang w:val="en-CA"/>
        </w:rPr>
        <w:t xml:space="preserve">only </w:t>
      </w:r>
      <w:r w:rsidR="00DD584A">
        <w:rPr>
          <w:rStyle w:val="apple-converted-space"/>
          <w:rFonts w:ascii="Times New Roman" w:hAnsi="Times New Roman" w:cs="Times New Roman"/>
          <w:sz w:val="24"/>
          <w:szCs w:val="24"/>
          <w:lang w:val="en-CA"/>
        </w:rPr>
        <w:t>this third limb</w:t>
      </w:r>
      <w:r w:rsidR="00DD584A">
        <w:rPr>
          <w:rStyle w:val="Odwoanieprzypisudolnego"/>
          <w:rFonts w:ascii="Times New Roman" w:hAnsi="Times New Roman" w:cs="Times New Roman"/>
          <w:sz w:val="24"/>
          <w:szCs w:val="24"/>
          <w:lang w:val="en-CA"/>
        </w:rPr>
        <w:footnoteReference w:id="61"/>
      </w:r>
      <w:r w:rsidR="00DD584A">
        <w:rPr>
          <w:rFonts w:ascii="Times New Roman" w:hAnsi="Times New Roman" w:cs="Times New Roman"/>
          <w:sz w:val="24"/>
          <w:szCs w:val="24"/>
          <w:lang w:val="en-CA"/>
        </w:rPr>
        <w:t xml:space="preserve">. </w:t>
      </w:r>
      <w:r w:rsidR="00572B15" w:rsidRPr="00D57570">
        <w:rPr>
          <w:rStyle w:val="apple-converted-space"/>
          <w:rFonts w:ascii="Times New Roman" w:hAnsi="Times New Roman" w:cs="Times New Roman"/>
          <w:bCs/>
          <w:sz w:val="24"/>
          <w:szCs w:val="24"/>
          <w:lang w:val="en-CA"/>
        </w:rPr>
        <w:t>I</w:t>
      </w:r>
      <w:r w:rsidR="00841968" w:rsidRPr="00D57570">
        <w:rPr>
          <w:rStyle w:val="apple-converted-space"/>
          <w:rFonts w:ascii="Times New Roman" w:hAnsi="Times New Roman" w:cs="Times New Roman"/>
          <w:bCs/>
          <w:sz w:val="24"/>
          <w:szCs w:val="24"/>
          <w:lang w:val="en-CA"/>
        </w:rPr>
        <w:t xml:space="preserve">n </w:t>
      </w:r>
      <w:r w:rsidR="00841968" w:rsidRPr="00273989">
        <w:rPr>
          <w:rStyle w:val="apple-converted-space"/>
          <w:rFonts w:ascii="Times New Roman" w:hAnsi="Times New Roman" w:cs="Times New Roman"/>
          <w:bCs/>
          <w:i/>
          <w:sz w:val="24"/>
          <w:szCs w:val="24"/>
          <w:lang w:val="en-CA"/>
        </w:rPr>
        <w:t>Landvreugd</w:t>
      </w:r>
      <w:r w:rsidR="00841968" w:rsidRPr="00273989">
        <w:rPr>
          <w:rStyle w:val="apple-converted-space"/>
          <w:rFonts w:ascii="Times New Roman" w:hAnsi="Times New Roman" w:cs="Times New Roman"/>
          <w:bCs/>
          <w:sz w:val="24"/>
          <w:szCs w:val="24"/>
          <w:lang w:val="en-CA"/>
        </w:rPr>
        <w:t xml:space="preserve">, </w:t>
      </w:r>
      <w:r w:rsidR="00572B15" w:rsidRPr="00273989">
        <w:rPr>
          <w:rStyle w:val="apple-converted-space"/>
          <w:rFonts w:ascii="Times New Roman" w:hAnsi="Times New Roman" w:cs="Times New Roman"/>
          <w:bCs/>
          <w:sz w:val="24"/>
          <w:szCs w:val="24"/>
          <w:lang w:val="en-CA"/>
        </w:rPr>
        <w:t xml:space="preserve">for example, </w:t>
      </w:r>
      <w:r w:rsidR="00841968" w:rsidRPr="00273989">
        <w:rPr>
          <w:rStyle w:val="apple-converted-space"/>
          <w:rFonts w:ascii="Times New Roman" w:hAnsi="Times New Roman" w:cs="Times New Roman"/>
          <w:bCs/>
          <w:sz w:val="24"/>
          <w:szCs w:val="24"/>
          <w:lang w:val="en-CA"/>
        </w:rPr>
        <w:t xml:space="preserve">the Strasbourg Court </w:t>
      </w:r>
      <w:r w:rsidR="00D57570" w:rsidRPr="00273989">
        <w:rPr>
          <w:rStyle w:val="apple-converted-space"/>
          <w:rFonts w:ascii="Times New Roman" w:hAnsi="Times New Roman" w:cs="Times New Roman"/>
          <w:bCs/>
          <w:sz w:val="24"/>
          <w:szCs w:val="24"/>
          <w:lang w:val="en-CA"/>
        </w:rPr>
        <w:t xml:space="preserve">refers to </w:t>
      </w:r>
      <w:r w:rsidR="00DD584A">
        <w:rPr>
          <w:rStyle w:val="apple-converted-space"/>
          <w:rFonts w:ascii="Times New Roman" w:hAnsi="Times New Roman" w:cs="Times New Roman"/>
          <w:bCs/>
          <w:sz w:val="24"/>
          <w:szCs w:val="24"/>
          <w:lang w:val="en-CA"/>
        </w:rPr>
        <w:t>the third</w:t>
      </w:r>
      <w:r w:rsidR="00D57570" w:rsidRPr="00273989">
        <w:rPr>
          <w:rStyle w:val="apple-converted-space"/>
          <w:rFonts w:ascii="Times New Roman" w:hAnsi="Times New Roman" w:cs="Times New Roman"/>
          <w:bCs/>
          <w:sz w:val="24"/>
          <w:szCs w:val="24"/>
          <w:lang w:val="en-CA"/>
        </w:rPr>
        <w:t xml:space="preserve"> limb - </w:t>
      </w:r>
      <w:r w:rsidR="00273989" w:rsidRPr="00273989">
        <w:rPr>
          <w:rStyle w:val="apple-converted-space"/>
          <w:rFonts w:ascii="Times New Roman" w:hAnsi="Times New Roman" w:cs="Times New Roman"/>
          <w:bCs/>
          <w:sz w:val="24"/>
          <w:szCs w:val="24"/>
          <w:lang w:val="en-CA"/>
        </w:rPr>
        <w:t xml:space="preserve">and </w:t>
      </w:r>
      <w:r w:rsidR="00D57570" w:rsidRPr="00273989">
        <w:rPr>
          <w:rStyle w:val="apple-converted-space"/>
          <w:rFonts w:ascii="Times New Roman" w:hAnsi="Times New Roman" w:cs="Times New Roman"/>
          <w:bCs/>
          <w:sz w:val="24"/>
          <w:szCs w:val="24"/>
          <w:lang w:val="en-CA"/>
        </w:rPr>
        <w:t xml:space="preserve">only </w:t>
      </w:r>
      <w:r w:rsidR="00273989" w:rsidRPr="00273989">
        <w:rPr>
          <w:rStyle w:val="apple-converted-space"/>
          <w:rFonts w:ascii="Times New Roman" w:hAnsi="Times New Roman" w:cs="Times New Roman"/>
          <w:bCs/>
          <w:sz w:val="24"/>
          <w:szCs w:val="24"/>
          <w:lang w:val="en-CA"/>
        </w:rPr>
        <w:t xml:space="preserve">to </w:t>
      </w:r>
      <w:r w:rsidR="00D57570" w:rsidRPr="00273989">
        <w:rPr>
          <w:rStyle w:val="apple-converted-space"/>
          <w:rFonts w:ascii="Times New Roman" w:hAnsi="Times New Roman" w:cs="Times New Roman"/>
          <w:bCs/>
          <w:sz w:val="24"/>
          <w:szCs w:val="24"/>
          <w:lang w:val="en-CA"/>
        </w:rPr>
        <w:t xml:space="preserve">this limb - when </w:t>
      </w:r>
      <w:r w:rsidR="00B25AA6">
        <w:rPr>
          <w:rStyle w:val="apple-converted-space"/>
          <w:rFonts w:ascii="Times New Roman" w:hAnsi="Times New Roman" w:cs="Times New Roman"/>
          <w:bCs/>
          <w:sz w:val="24"/>
          <w:szCs w:val="24"/>
          <w:lang w:val="en-CA"/>
        </w:rPr>
        <w:t>taking into account the fact</w:t>
      </w:r>
      <w:r w:rsidR="00D57570" w:rsidRPr="00273989">
        <w:rPr>
          <w:rStyle w:val="apple-converted-space"/>
          <w:rFonts w:ascii="Times New Roman" w:hAnsi="Times New Roman" w:cs="Times New Roman"/>
          <w:bCs/>
          <w:sz w:val="24"/>
          <w:szCs w:val="24"/>
          <w:lang w:val="en-CA"/>
        </w:rPr>
        <w:t xml:space="preserve"> </w:t>
      </w:r>
      <w:r w:rsidR="00B25AA6">
        <w:rPr>
          <w:rStyle w:val="apple-converted-space"/>
          <w:rFonts w:ascii="Times New Roman" w:hAnsi="Times New Roman" w:cs="Times New Roman"/>
          <w:bCs/>
          <w:sz w:val="24"/>
          <w:szCs w:val="24"/>
          <w:lang w:val="en-CA"/>
        </w:rPr>
        <w:t>that the applicant had already been banned from the area concerned f</w:t>
      </w:r>
      <w:r w:rsidR="001551B3">
        <w:rPr>
          <w:rStyle w:val="apple-converted-space"/>
          <w:rFonts w:ascii="Times New Roman" w:hAnsi="Times New Roman" w:cs="Times New Roman"/>
          <w:bCs/>
          <w:sz w:val="24"/>
          <w:szCs w:val="24"/>
          <w:lang w:val="en-CA"/>
        </w:rPr>
        <w:t xml:space="preserve">or the overt use of hard drugs and </w:t>
      </w:r>
      <w:r w:rsidR="00B25AA6">
        <w:rPr>
          <w:rStyle w:val="apple-converted-space"/>
          <w:rFonts w:ascii="Times New Roman" w:hAnsi="Times New Roman" w:cs="Times New Roman"/>
          <w:bCs/>
          <w:sz w:val="24"/>
          <w:szCs w:val="24"/>
          <w:lang w:val="en-CA"/>
        </w:rPr>
        <w:t xml:space="preserve">that he totally ignored the ban, whereupon he was informed of the consequences </w:t>
      </w:r>
      <w:r w:rsidR="001551B3">
        <w:rPr>
          <w:rStyle w:val="apple-converted-space"/>
          <w:rFonts w:ascii="Times New Roman" w:hAnsi="Times New Roman" w:cs="Times New Roman"/>
          <w:bCs/>
          <w:sz w:val="24"/>
          <w:szCs w:val="24"/>
          <w:lang w:val="en-CA"/>
        </w:rPr>
        <w:t>there</w:t>
      </w:r>
      <w:r w:rsidR="00B25AA6">
        <w:rPr>
          <w:rStyle w:val="apple-converted-space"/>
          <w:rFonts w:ascii="Times New Roman" w:hAnsi="Times New Roman" w:cs="Times New Roman"/>
          <w:bCs/>
          <w:sz w:val="24"/>
          <w:szCs w:val="24"/>
          <w:lang w:val="en-CA"/>
        </w:rPr>
        <w:t>of</w:t>
      </w:r>
      <w:r w:rsidR="001551B3">
        <w:rPr>
          <w:rStyle w:val="apple-converted-space"/>
          <w:rFonts w:ascii="Times New Roman" w:hAnsi="Times New Roman" w:cs="Times New Roman"/>
          <w:bCs/>
          <w:sz w:val="24"/>
          <w:szCs w:val="24"/>
          <w:lang w:val="en-CA"/>
        </w:rPr>
        <w:t xml:space="preserve"> and conclu</w:t>
      </w:r>
      <w:r w:rsidR="00B25AA6" w:rsidRPr="00B25AA6">
        <w:rPr>
          <w:rStyle w:val="apple-converted-space"/>
          <w:rFonts w:ascii="Times New Roman" w:hAnsi="Times New Roman" w:cs="Times New Roman"/>
          <w:bCs/>
          <w:sz w:val="24"/>
          <w:szCs w:val="24"/>
          <w:lang w:val="en-CA"/>
        </w:rPr>
        <w:t>d</w:t>
      </w:r>
      <w:r w:rsidR="00B25AA6">
        <w:rPr>
          <w:rStyle w:val="apple-converted-space"/>
          <w:rFonts w:ascii="Times New Roman" w:hAnsi="Times New Roman" w:cs="Times New Roman"/>
          <w:bCs/>
          <w:sz w:val="24"/>
          <w:szCs w:val="24"/>
          <w:lang w:val="en-CA"/>
        </w:rPr>
        <w:t>ed</w:t>
      </w:r>
      <w:r w:rsidR="00B25AA6" w:rsidRPr="00B25AA6">
        <w:rPr>
          <w:rStyle w:val="apple-converted-space"/>
          <w:rFonts w:ascii="Times New Roman" w:hAnsi="Times New Roman" w:cs="Times New Roman"/>
          <w:bCs/>
          <w:sz w:val="24"/>
          <w:szCs w:val="24"/>
          <w:lang w:val="en-CA"/>
        </w:rPr>
        <w:t xml:space="preserve"> that </w:t>
      </w:r>
      <w:r w:rsidR="00B25AA6">
        <w:rPr>
          <w:rStyle w:val="apple-converted-space"/>
          <w:rFonts w:ascii="Times New Roman" w:hAnsi="Times New Roman" w:cs="Times New Roman"/>
          <w:bCs/>
          <w:sz w:val="24"/>
          <w:szCs w:val="24"/>
          <w:lang w:val="en-CA"/>
        </w:rPr>
        <w:t>‘</w:t>
      </w:r>
      <w:r w:rsidR="00A7512D">
        <w:rPr>
          <w:rFonts w:ascii="Times New Roman" w:hAnsi="Times New Roman" w:cs="Times New Roman"/>
          <w:color w:val="000000"/>
          <w:sz w:val="24"/>
          <w:szCs w:val="24"/>
          <w:u w:val="single"/>
          <w:shd w:val="clear" w:color="auto" w:fill="FFFFFF"/>
          <w:lang w:val="en-CA"/>
        </w:rPr>
        <w:t>in</w:t>
      </w:r>
      <w:r w:rsidR="00B25AA6" w:rsidRPr="00A7074F">
        <w:rPr>
          <w:rFonts w:ascii="Times New Roman" w:hAnsi="Times New Roman" w:cs="Times New Roman"/>
          <w:color w:val="000000"/>
          <w:sz w:val="24"/>
          <w:szCs w:val="24"/>
          <w:u w:val="single"/>
          <w:shd w:val="clear" w:color="auto" w:fill="FFFFFF"/>
          <w:lang w:val="en-CA"/>
        </w:rPr>
        <w:t xml:space="preserve"> these circumstances</w:t>
      </w:r>
      <w:r w:rsidR="00B25AA6" w:rsidRPr="00B25AA6">
        <w:rPr>
          <w:rFonts w:ascii="Times New Roman" w:hAnsi="Times New Roman" w:cs="Times New Roman"/>
          <w:color w:val="000000"/>
          <w:sz w:val="24"/>
          <w:szCs w:val="24"/>
          <w:shd w:val="clear" w:color="auto" w:fill="FFFFFF"/>
          <w:lang w:val="en-CA"/>
        </w:rPr>
        <w:t xml:space="preserve">, the Court finds that </w:t>
      </w:r>
      <w:r w:rsidR="00B25AA6" w:rsidRPr="00A7074F">
        <w:rPr>
          <w:rFonts w:ascii="Times New Roman" w:hAnsi="Times New Roman" w:cs="Times New Roman"/>
          <w:color w:val="000000"/>
          <w:sz w:val="24"/>
          <w:szCs w:val="24"/>
          <w:u w:val="single"/>
          <w:shd w:val="clear" w:color="auto" w:fill="FFFFFF"/>
          <w:lang w:val="en-CA"/>
        </w:rPr>
        <w:t>the restriction on the applicant’s freedom of movement cannot be regarded as disproportionate</w:t>
      </w:r>
      <w:r w:rsidR="00B25AA6" w:rsidRPr="00A7512D">
        <w:rPr>
          <w:rFonts w:ascii="Times New Roman" w:hAnsi="Times New Roman" w:cs="Times New Roman"/>
          <w:color w:val="000000"/>
          <w:sz w:val="24"/>
          <w:szCs w:val="24"/>
          <w:shd w:val="clear" w:color="auto" w:fill="FFFFFF"/>
          <w:lang w:val="en-CA"/>
        </w:rPr>
        <w:t>’</w:t>
      </w:r>
      <w:r w:rsidR="006B7B50">
        <w:rPr>
          <w:rFonts w:ascii="Times New Roman" w:hAnsi="Times New Roman" w:cs="Times New Roman"/>
          <w:color w:val="000000"/>
          <w:sz w:val="24"/>
          <w:szCs w:val="24"/>
          <w:shd w:val="clear" w:color="auto" w:fill="FFFFFF"/>
          <w:lang w:val="en-CA"/>
        </w:rPr>
        <w:t xml:space="preserve"> (emphasis added)</w:t>
      </w:r>
      <w:r w:rsidR="00D57570" w:rsidRPr="00D57570">
        <w:rPr>
          <w:rStyle w:val="Odwoanieprzypisudolnego"/>
          <w:rFonts w:ascii="Times New Roman" w:hAnsi="Times New Roman" w:cs="Times New Roman"/>
          <w:sz w:val="24"/>
          <w:szCs w:val="24"/>
          <w:lang w:val="en-US"/>
        </w:rPr>
        <w:footnoteReference w:id="62"/>
      </w:r>
      <w:r w:rsidR="00DD584A">
        <w:rPr>
          <w:rFonts w:ascii="Times New Roman" w:hAnsi="Times New Roman" w:cs="Times New Roman"/>
          <w:color w:val="000000"/>
          <w:sz w:val="24"/>
          <w:szCs w:val="24"/>
          <w:shd w:val="clear" w:color="auto" w:fill="FFFFFF"/>
          <w:lang w:val="en-US"/>
        </w:rPr>
        <w:t>.</w:t>
      </w:r>
      <w:r w:rsidR="00272F12">
        <w:rPr>
          <w:rStyle w:val="apple-converted-space"/>
          <w:rFonts w:ascii="Times New Roman" w:hAnsi="Times New Roman" w:cs="Times New Roman"/>
          <w:sz w:val="24"/>
          <w:szCs w:val="24"/>
          <w:lang w:val="en-CA"/>
        </w:rPr>
        <w:t xml:space="preserve"> </w:t>
      </w:r>
    </w:p>
    <w:p w14:paraId="15070D62" w14:textId="77777777" w:rsidR="00077218" w:rsidRDefault="00077218" w:rsidP="00D57570">
      <w:pPr>
        <w:spacing w:after="0"/>
        <w:jc w:val="both"/>
        <w:rPr>
          <w:rFonts w:ascii="Times New Roman" w:hAnsi="Times New Roman" w:cs="Times New Roman"/>
          <w:sz w:val="24"/>
          <w:szCs w:val="24"/>
          <w:lang w:val="en-CA"/>
        </w:rPr>
      </w:pPr>
    </w:p>
    <w:p w14:paraId="2E810120" w14:textId="2C58F46A" w:rsidR="003721FC" w:rsidRDefault="003721FC" w:rsidP="00D57570">
      <w:pPr>
        <w:autoSpaceDE w:val="0"/>
        <w:autoSpaceDN w:val="0"/>
        <w:adjustRightInd w:val="0"/>
        <w:spacing w:after="0"/>
        <w:jc w:val="both"/>
        <w:rPr>
          <w:rStyle w:val="apple-converted-space"/>
          <w:rFonts w:ascii="Times New Roman" w:hAnsi="Times New Roman" w:cs="Times New Roman"/>
          <w:bCs/>
          <w:sz w:val="24"/>
          <w:szCs w:val="24"/>
          <w:lang w:val="en-CA"/>
        </w:rPr>
      </w:pPr>
      <w:r>
        <w:rPr>
          <w:rStyle w:val="apple-converted-space"/>
          <w:rFonts w:ascii="Times New Roman" w:hAnsi="Times New Roman" w:cs="Times New Roman"/>
          <w:bCs/>
          <w:sz w:val="24"/>
          <w:szCs w:val="24"/>
          <w:lang w:val="en-CA"/>
        </w:rPr>
        <w:t xml:space="preserve">It is in </w:t>
      </w:r>
      <w:r w:rsidR="00DD584A">
        <w:rPr>
          <w:rStyle w:val="apple-converted-space"/>
          <w:rFonts w:ascii="Times New Roman" w:hAnsi="Times New Roman" w:cs="Times New Roman"/>
          <w:bCs/>
          <w:sz w:val="24"/>
          <w:szCs w:val="24"/>
          <w:lang w:val="en-CA"/>
        </w:rPr>
        <w:t>the third</w:t>
      </w:r>
      <w:r>
        <w:rPr>
          <w:rStyle w:val="apple-converted-space"/>
          <w:rFonts w:ascii="Times New Roman" w:hAnsi="Times New Roman" w:cs="Times New Roman"/>
          <w:bCs/>
          <w:sz w:val="24"/>
          <w:szCs w:val="24"/>
          <w:lang w:val="en-CA"/>
        </w:rPr>
        <w:t xml:space="preserve"> limb that the required </w:t>
      </w:r>
      <w:r w:rsidR="00273989">
        <w:rPr>
          <w:rStyle w:val="apple-converted-space"/>
          <w:rFonts w:ascii="Times New Roman" w:hAnsi="Times New Roman" w:cs="Times New Roman"/>
          <w:bCs/>
          <w:sz w:val="24"/>
          <w:szCs w:val="24"/>
          <w:lang w:val="en-CA"/>
        </w:rPr>
        <w:t>‘</w:t>
      </w:r>
      <w:r>
        <w:rPr>
          <w:rStyle w:val="apple-converted-space"/>
          <w:rFonts w:ascii="Times New Roman" w:hAnsi="Times New Roman" w:cs="Times New Roman"/>
          <w:bCs/>
          <w:sz w:val="24"/>
          <w:szCs w:val="24"/>
          <w:lang w:val="en-CA"/>
        </w:rPr>
        <w:t>fair balance</w:t>
      </w:r>
      <w:r w:rsidR="00273989">
        <w:rPr>
          <w:rStyle w:val="apple-converted-space"/>
          <w:rFonts w:ascii="Times New Roman" w:hAnsi="Times New Roman" w:cs="Times New Roman"/>
          <w:bCs/>
          <w:sz w:val="24"/>
          <w:szCs w:val="24"/>
          <w:lang w:val="en-CA"/>
        </w:rPr>
        <w:t>’,</w:t>
      </w:r>
      <w:r>
        <w:rPr>
          <w:rStyle w:val="apple-converted-space"/>
          <w:rFonts w:ascii="Times New Roman" w:hAnsi="Times New Roman" w:cs="Times New Roman"/>
          <w:bCs/>
          <w:sz w:val="24"/>
          <w:szCs w:val="24"/>
          <w:lang w:val="en-CA"/>
        </w:rPr>
        <w:t xml:space="preserve"> as </w:t>
      </w:r>
      <w:r w:rsidRPr="0026457A">
        <w:rPr>
          <w:rStyle w:val="apple-converted-space"/>
          <w:rFonts w:ascii="Times New Roman" w:hAnsi="Times New Roman" w:cs="Times New Roman"/>
          <w:bCs/>
          <w:sz w:val="24"/>
          <w:szCs w:val="24"/>
          <w:lang w:val="en-CA"/>
        </w:rPr>
        <w:t>men</w:t>
      </w:r>
      <w:r w:rsidR="00D57570">
        <w:rPr>
          <w:rStyle w:val="apple-converted-space"/>
          <w:rFonts w:ascii="Times New Roman" w:hAnsi="Times New Roman" w:cs="Times New Roman"/>
          <w:bCs/>
          <w:sz w:val="24"/>
          <w:szCs w:val="24"/>
          <w:lang w:val="en-CA"/>
        </w:rPr>
        <w:t>tioned above</w:t>
      </w:r>
      <w:r w:rsidR="00273989">
        <w:rPr>
          <w:rStyle w:val="apple-converted-space"/>
          <w:rFonts w:ascii="Times New Roman" w:hAnsi="Times New Roman" w:cs="Times New Roman"/>
          <w:bCs/>
          <w:sz w:val="24"/>
          <w:szCs w:val="24"/>
          <w:lang w:val="en-CA"/>
        </w:rPr>
        <w:t>,</w:t>
      </w:r>
      <w:r w:rsidR="00D57570">
        <w:rPr>
          <w:rStyle w:val="apple-converted-space"/>
          <w:rFonts w:ascii="Times New Roman" w:hAnsi="Times New Roman" w:cs="Times New Roman"/>
          <w:bCs/>
          <w:sz w:val="24"/>
          <w:szCs w:val="24"/>
          <w:lang w:val="en-CA"/>
        </w:rPr>
        <w:t xml:space="preserve"> is clearly present. T</w:t>
      </w:r>
      <w:r w:rsidRPr="0026457A">
        <w:rPr>
          <w:rStyle w:val="apple-converted-space"/>
          <w:rFonts w:ascii="Times New Roman" w:hAnsi="Times New Roman" w:cs="Times New Roman"/>
          <w:bCs/>
          <w:sz w:val="24"/>
          <w:szCs w:val="24"/>
          <w:lang w:val="en-CA"/>
        </w:rPr>
        <w:t>he restriction of the fundamental right caused by the measure imposed must stand in fair proportion to the importance of the legitimate aim pursued by the measure, which requires balancing means and ends</w:t>
      </w:r>
      <w:r w:rsidRPr="0026457A">
        <w:rPr>
          <w:rStyle w:val="Odwoanieprzypisudolnego"/>
          <w:rFonts w:ascii="Times New Roman" w:hAnsi="Times New Roman" w:cs="Times New Roman"/>
          <w:bCs/>
          <w:sz w:val="24"/>
          <w:szCs w:val="24"/>
          <w:lang w:val="en-CA"/>
        </w:rPr>
        <w:footnoteReference w:id="63"/>
      </w:r>
      <w:r w:rsidRPr="0026457A">
        <w:rPr>
          <w:rStyle w:val="apple-converted-space"/>
          <w:rFonts w:ascii="Times New Roman" w:hAnsi="Times New Roman" w:cs="Times New Roman"/>
          <w:bCs/>
          <w:sz w:val="24"/>
          <w:szCs w:val="24"/>
          <w:lang w:val="en-CA"/>
        </w:rPr>
        <w:t>. Consequently, the</w:t>
      </w:r>
      <w:r>
        <w:rPr>
          <w:rStyle w:val="apple-converted-space"/>
          <w:rFonts w:ascii="Times New Roman" w:hAnsi="Times New Roman" w:cs="Times New Roman"/>
          <w:bCs/>
          <w:sz w:val="24"/>
          <w:szCs w:val="24"/>
          <w:lang w:val="en-CA"/>
        </w:rPr>
        <w:t xml:space="preserve"> proportionality test </w:t>
      </w:r>
      <w:r w:rsidR="001551B3">
        <w:rPr>
          <w:rStyle w:val="apple-converted-space"/>
          <w:rFonts w:ascii="Times New Roman" w:hAnsi="Times New Roman" w:cs="Times New Roman"/>
          <w:bCs/>
          <w:sz w:val="24"/>
          <w:szCs w:val="24"/>
          <w:lang w:val="en-CA"/>
        </w:rPr>
        <w:t xml:space="preserve">used </w:t>
      </w:r>
      <w:r>
        <w:rPr>
          <w:rStyle w:val="apple-converted-space"/>
          <w:rFonts w:ascii="Times New Roman" w:hAnsi="Times New Roman" w:cs="Times New Roman"/>
          <w:bCs/>
          <w:sz w:val="24"/>
          <w:szCs w:val="24"/>
          <w:lang w:val="en-CA"/>
        </w:rPr>
        <w:t xml:space="preserve">in the </w:t>
      </w:r>
      <w:r w:rsidR="001551B3">
        <w:rPr>
          <w:rStyle w:val="apple-converted-space"/>
          <w:rFonts w:ascii="Times New Roman" w:hAnsi="Times New Roman" w:cs="Times New Roman"/>
          <w:bCs/>
          <w:sz w:val="24"/>
          <w:szCs w:val="24"/>
          <w:lang w:val="en-CA"/>
        </w:rPr>
        <w:t xml:space="preserve">Strasbourg Court’s </w:t>
      </w:r>
      <w:r>
        <w:rPr>
          <w:rStyle w:val="apple-converted-space"/>
          <w:rFonts w:ascii="Times New Roman" w:hAnsi="Times New Roman" w:cs="Times New Roman"/>
          <w:bCs/>
          <w:sz w:val="24"/>
          <w:szCs w:val="24"/>
          <w:lang w:val="en-CA"/>
        </w:rPr>
        <w:t>case law is</w:t>
      </w:r>
      <w:r w:rsidRPr="003B496A">
        <w:rPr>
          <w:rStyle w:val="apple-converted-space"/>
          <w:rFonts w:ascii="Times New Roman" w:hAnsi="Times New Roman" w:cs="Times New Roman"/>
          <w:bCs/>
          <w:sz w:val="24"/>
          <w:szCs w:val="24"/>
          <w:lang w:val="en-CA"/>
        </w:rPr>
        <w:t xml:space="preserve"> often referred to as an </w:t>
      </w:r>
      <w:r>
        <w:rPr>
          <w:rStyle w:val="apple-converted-space"/>
          <w:rFonts w:ascii="Times New Roman" w:hAnsi="Times New Roman" w:cs="Times New Roman"/>
          <w:bCs/>
          <w:sz w:val="24"/>
          <w:szCs w:val="24"/>
          <w:lang w:val="en-CA"/>
        </w:rPr>
        <w:t>‘</w:t>
      </w:r>
      <w:r w:rsidRPr="003B496A">
        <w:rPr>
          <w:rStyle w:val="apple-converted-space"/>
          <w:rFonts w:ascii="Times New Roman" w:hAnsi="Times New Roman" w:cs="Times New Roman"/>
          <w:bCs/>
          <w:sz w:val="24"/>
          <w:szCs w:val="24"/>
          <w:lang w:val="en-CA"/>
        </w:rPr>
        <w:t>aim</w:t>
      </w:r>
      <w:r w:rsidR="001551B3">
        <w:rPr>
          <w:rStyle w:val="apple-converted-space"/>
          <w:rFonts w:ascii="Times New Roman" w:hAnsi="Times New Roman" w:cs="Times New Roman"/>
          <w:bCs/>
          <w:sz w:val="24"/>
          <w:szCs w:val="24"/>
          <w:lang w:val="en-CA"/>
        </w:rPr>
        <w:t>s</w:t>
      </w:r>
      <w:r w:rsidRPr="003B496A">
        <w:rPr>
          <w:rStyle w:val="apple-converted-space"/>
          <w:rFonts w:ascii="Times New Roman" w:hAnsi="Times New Roman" w:cs="Times New Roman"/>
          <w:bCs/>
          <w:sz w:val="24"/>
          <w:szCs w:val="24"/>
          <w:lang w:val="en-CA"/>
        </w:rPr>
        <w:t>-means</w:t>
      </w:r>
      <w:r w:rsidR="001551B3">
        <w:rPr>
          <w:rStyle w:val="apple-converted-space"/>
          <w:rFonts w:ascii="Times New Roman" w:hAnsi="Times New Roman" w:cs="Times New Roman"/>
          <w:bCs/>
          <w:sz w:val="24"/>
          <w:szCs w:val="24"/>
          <w:lang w:val="en-CA"/>
        </w:rPr>
        <w:t>’</w:t>
      </w:r>
      <w:r w:rsidRPr="003B496A">
        <w:rPr>
          <w:rStyle w:val="apple-converted-space"/>
          <w:rFonts w:ascii="Times New Roman" w:hAnsi="Times New Roman" w:cs="Times New Roman"/>
          <w:bCs/>
          <w:sz w:val="24"/>
          <w:szCs w:val="24"/>
          <w:lang w:val="en-CA"/>
        </w:rPr>
        <w:t xml:space="preserve"> balance.</w:t>
      </w:r>
      <w:r>
        <w:rPr>
          <w:rStyle w:val="apple-converted-space"/>
          <w:rFonts w:ascii="Times New Roman" w:hAnsi="Times New Roman" w:cs="Times New Roman"/>
          <w:bCs/>
          <w:sz w:val="24"/>
          <w:szCs w:val="24"/>
          <w:lang w:val="en-CA"/>
        </w:rPr>
        <w:t xml:space="preserve"> However, the third limb does not only require the means being balanced </w:t>
      </w:r>
      <w:r w:rsidR="001551B3">
        <w:rPr>
          <w:rStyle w:val="apple-converted-space"/>
          <w:rFonts w:ascii="Times New Roman" w:hAnsi="Times New Roman" w:cs="Times New Roman"/>
          <w:bCs/>
          <w:sz w:val="24"/>
          <w:szCs w:val="24"/>
          <w:lang w:val="en-CA"/>
        </w:rPr>
        <w:t>with</w:t>
      </w:r>
      <w:r>
        <w:rPr>
          <w:rStyle w:val="apple-converted-space"/>
          <w:rFonts w:ascii="Times New Roman" w:hAnsi="Times New Roman" w:cs="Times New Roman"/>
          <w:bCs/>
          <w:sz w:val="24"/>
          <w:szCs w:val="24"/>
          <w:lang w:val="en-CA"/>
        </w:rPr>
        <w:t xml:space="preserve"> the aim pursued, but also the means being balanced </w:t>
      </w:r>
      <w:r w:rsidR="001551B3">
        <w:rPr>
          <w:rStyle w:val="apple-converted-space"/>
          <w:rFonts w:ascii="Times New Roman" w:hAnsi="Times New Roman" w:cs="Times New Roman"/>
          <w:bCs/>
          <w:sz w:val="24"/>
          <w:szCs w:val="24"/>
          <w:lang w:val="en-CA"/>
        </w:rPr>
        <w:t>with</w:t>
      </w:r>
      <w:r>
        <w:rPr>
          <w:rStyle w:val="apple-converted-space"/>
          <w:rFonts w:ascii="Times New Roman" w:hAnsi="Times New Roman" w:cs="Times New Roman"/>
          <w:bCs/>
          <w:sz w:val="24"/>
          <w:szCs w:val="24"/>
          <w:lang w:val="en-CA"/>
        </w:rPr>
        <w:t xml:space="preserve"> the </w:t>
      </w:r>
      <w:r w:rsidRPr="00D8461B">
        <w:rPr>
          <w:rStyle w:val="apple-converted-space"/>
          <w:rFonts w:ascii="Times New Roman" w:hAnsi="Times New Roman" w:cs="Times New Roman"/>
          <w:bCs/>
          <w:i/>
          <w:sz w:val="24"/>
          <w:szCs w:val="24"/>
          <w:lang w:val="en-CA"/>
        </w:rPr>
        <w:t>consequences</w:t>
      </w:r>
      <w:r>
        <w:rPr>
          <w:rStyle w:val="apple-converted-space"/>
          <w:rFonts w:ascii="Times New Roman" w:hAnsi="Times New Roman" w:cs="Times New Roman"/>
          <w:bCs/>
          <w:sz w:val="24"/>
          <w:szCs w:val="24"/>
          <w:lang w:val="en-CA"/>
        </w:rPr>
        <w:t xml:space="preserve"> of the means for the individual, more specifically the impact caused on </w:t>
      </w:r>
      <w:r w:rsidRPr="00360ECA">
        <w:rPr>
          <w:rFonts w:ascii="Times New Roman" w:hAnsi="Times New Roman" w:cs="Times New Roman"/>
          <w:sz w:val="24"/>
          <w:szCs w:val="24"/>
          <w:lang w:val="en-US"/>
        </w:rPr>
        <w:t xml:space="preserve">the individual’s </w:t>
      </w:r>
      <w:r>
        <w:rPr>
          <w:rFonts w:ascii="Times New Roman" w:hAnsi="Times New Roman" w:cs="Times New Roman"/>
          <w:sz w:val="24"/>
          <w:szCs w:val="24"/>
          <w:lang w:val="en-US"/>
        </w:rPr>
        <w:t xml:space="preserve">fundamental </w:t>
      </w:r>
      <w:r w:rsidRPr="00360ECA">
        <w:rPr>
          <w:rFonts w:ascii="Times New Roman" w:hAnsi="Times New Roman" w:cs="Times New Roman"/>
          <w:sz w:val="24"/>
          <w:szCs w:val="24"/>
          <w:lang w:val="en-US"/>
        </w:rPr>
        <w:t>right</w:t>
      </w:r>
      <w:r>
        <w:rPr>
          <w:rFonts w:ascii="Times New Roman" w:hAnsi="Times New Roman" w:cs="Times New Roman"/>
          <w:sz w:val="24"/>
          <w:szCs w:val="24"/>
          <w:lang w:val="en-US"/>
        </w:rPr>
        <w:t>s and</w:t>
      </w:r>
      <w:r w:rsidRPr="00360ECA">
        <w:rPr>
          <w:rFonts w:ascii="Times New Roman" w:hAnsi="Times New Roman" w:cs="Times New Roman"/>
          <w:sz w:val="24"/>
          <w:szCs w:val="24"/>
          <w:lang w:val="en-US"/>
        </w:rPr>
        <w:t xml:space="preserve"> free</w:t>
      </w:r>
      <w:r>
        <w:rPr>
          <w:rFonts w:ascii="Times New Roman" w:hAnsi="Times New Roman" w:cs="Times New Roman"/>
          <w:sz w:val="24"/>
          <w:szCs w:val="24"/>
          <w:lang w:val="en-US"/>
        </w:rPr>
        <w:t>doms</w:t>
      </w:r>
      <w:r>
        <w:rPr>
          <w:rStyle w:val="apple-converted-space"/>
          <w:rFonts w:ascii="Times New Roman" w:hAnsi="Times New Roman" w:cs="Times New Roman"/>
          <w:bCs/>
          <w:sz w:val="24"/>
          <w:szCs w:val="24"/>
          <w:lang w:val="en-CA"/>
        </w:rPr>
        <w:t xml:space="preserve">. </w:t>
      </w:r>
      <w:r w:rsidR="001551B3">
        <w:rPr>
          <w:rStyle w:val="apple-converted-space"/>
          <w:rFonts w:ascii="Times New Roman" w:hAnsi="Times New Roman" w:cs="Times New Roman"/>
          <w:bCs/>
          <w:sz w:val="24"/>
          <w:szCs w:val="24"/>
          <w:lang w:val="en-CA"/>
        </w:rPr>
        <w:t>Th</w:t>
      </w:r>
      <w:r>
        <w:rPr>
          <w:rFonts w:ascii="Times New Roman" w:hAnsi="Times New Roman" w:cs="Times New Roman"/>
          <w:sz w:val="24"/>
          <w:szCs w:val="24"/>
          <w:lang w:val="en-US"/>
        </w:rPr>
        <w:t xml:space="preserve">e third limb compares the consequences of the measure for the individual’s rights (the ‘costs’) with the contribution of the measure to the realisation of the aim </w:t>
      </w:r>
      <w:r w:rsidR="001551B3">
        <w:rPr>
          <w:rFonts w:ascii="Times New Roman" w:hAnsi="Times New Roman" w:cs="Times New Roman"/>
          <w:sz w:val="24"/>
          <w:szCs w:val="24"/>
          <w:lang w:val="en-US"/>
        </w:rPr>
        <w:t>pursued</w:t>
      </w:r>
      <w:r>
        <w:rPr>
          <w:rFonts w:ascii="Times New Roman" w:hAnsi="Times New Roman" w:cs="Times New Roman"/>
          <w:sz w:val="24"/>
          <w:szCs w:val="24"/>
          <w:lang w:val="en-US"/>
        </w:rPr>
        <w:t xml:space="preserve"> (the ‘benefits’). </w:t>
      </w:r>
      <w:r w:rsidR="00471C40">
        <w:rPr>
          <w:rFonts w:ascii="Times New Roman" w:hAnsi="Times New Roman" w:cs="Times New Roman"/>
          <w:sz w:val="24"/>
          <w:szCs w:val="24"/>
          <w:lang w:val="en-US"/>
        </w:rPr>
        <w:t xml:space="preserve">In </w:t>
      </w:r>
      <w:r w:rsidR="00F107B3">
        <w:rPr>
          <w:rFonts w:ascii="Times New Roman" w:hAnsi="Times New Roman" w:cs="Times New Roman"/>
          <w:i/>
          <w:sz w:val="24"/>
          <w:szCs w:val="24"/>
          <w:lang w:val="en-US"/>
        </w:rPr>
        <w:t>Landvreugd</w:t>
      </w:r>
      <w:r w:rsidR="00471C40" w:rsidRPr="00F107B3">
        <w:rPr>
          <w:rFonts w:ascii="Times New Roman" w:hAnsi="Times New Roman" w:cs="Times New Roman"/>
          <w:sz w:val="24"/>
          <w:szCs w:val="24"/>
          <w:lang w:val="en-US"/>
        </w:rPr>
        <w:t>, for instance</w:t>
      </w:r>
      <w:r w:rsidR="008A33B6" w:rsidRPr="00F107B3">
        <w:rPr>
          <w:rFonts w:ascii="Times New Roman" w:hAnsi="Times New Roman" w:cs="Times New Roman"/>
          <w:sz w:val="24"/>
          <w:szCs w:val="24"/>
          <w:lang w:val="en-US"/>
        </w:rPr>
        <w:t xml:space="preserve">, the </w:t>
      </w:r>
      <w:r w:rsidR="00F41070" w:rsidRPr="00F107B3">
        <w:rPr>
          <w:rFonts w:ascii="Times New Roman" w:hAnsi="Times New Roman" w:cs="Times New Roman"/>
          <w:sz w:val="24"/>
          <w:szCs w:val="24"/>
          <w:lang w:val="en-US"/>
        </w:rPr>
        <w:t xml:space="preserve">Strasbourg </w:t>
      </w:r>
      <w:r w:rsidR="008A33B6" w:rsidRPr="00F107B3">
        <w:rPr>
          <w:rFonts w:ascii="Times New Roman" w:hAnsi="Times New Roman" w:cs="Times New Roman"/>
          <w:sz w:val="24"/>
          <w:szCs w:val="24"/>
          <w:lang w:val="en-US"/>
        </w:rPr>
        <w:t>Court took into account the</w:t>
      </w:r>
      <w:r w:rsidR="00F41070" w:rsidRPr="00F107B3">
        <w:rPr>
          <w:rFonts w:ascii="Times New Roman" w:hAnsi="Times New Roman" w:cs="Times New Roman"/>
          <w:sz w:val="24"/>
          <w:szCs w:val="24"/>
          <w:lang w:val="en-US"/>
        </w:rPr>
        <w:t xml:space="preserve"> consequences of the </w:t>
      </w:r>
      <w:r w:rsidR="00471C40" w:rsidRPr="00F107B3">
        <w:rPr>
          <w:rFonts w:ascii="Times New Roman" w:hAnsi="Times New Roman" w:cs="Times New Roman"/>
          <w:sz w:val="24"/>
          <w:szCs w:val="24"/>
          <w:lang w:val="en-US"/>
        </w:rPr>
        <w:t>imposed area-based restriction</w:t>
      </w:r>
      <w:r w:rsidR="00F41070" w:rsidRPr="00F107B3">
        <w:rPr>
          <w:rFonts w:ascii="Times New Roman" w:hAnsi="Times New Roman" w:cs="Times New Roman"/>
          <w:sz w:val="24"/>
          <w:szCs w:val="24"/>
          <w:lang w:val="en-US"/>
        </w:rPr>
        <w:t xml:space="preserve"> on the</w:t>
      </w:r>
      <w:r w:rsidR="008A33B6" w:rsidRPr="00F107B3">
        <w:rPr>
          <w:rFonts w:ascii="Times New Roman" w:hAnsi="Times New Roman" w:cs="Times New Roman"/>
          <w:sz w:val="24"/>
          <w:szCs w:val="24"/>
          <w:lang w:val="en-US"/>
        </w:rPr>
        <w:t xml:space="preserve"> </w:t>
      </w:r>
      <w:r w:rsidR="00F107B3" w:rsidRPr="00F107B3">
        <w:rPr>
          <w:rFonts w:ascii="Times New Roman" w:hAnsi="Times New Roman" w:cs="Times New Roman"/>
          <w:sz w:val="24"/>
          <w:szCs w:val="24"/>
          <w:lang w:val="en-US"/>
        </w:rPr>
        <w:t>applicant’s</w:t>
      </w:r>
      <w:r w:rsidR="00F41070" w:rsidRPr="00F107B3">
        <w:rPr>
          <w:rFonts w:ascii="Times New Roman" w:hAnsi="Times New Roman" w:cs="Times New Roman"/>
          <w:sz w:val="24"/>
          <w:szCs w:val="24"/>
          <w:lang w:val="en-US"/>
        </w:rPr>
        <w:t xml:space="preserve"> personal circumstances</w:t>
      </w:r>
      <w:r w:rsidR="00F107B3" w:rsidRPr="00F107B3">
        <w:rPr>
          <w:rFonts w:ascii="Times New Roman" w:hAnsi="Times New Roman" w:cs="Times New Roman"/>
          <w:sz w:val="24"/>
          <w:szCs w:val="24"/>
          <w:lang w:val="en-US"/>
        </w:rPr>
        <w:t>, when considering that the applicant did</w:t>
      </w:r>
      <w:r w:rsidR="00F107B3" w:rsidRPr="00F107B3">
        <w:rPr>
          <w:rFonts w:ascii="Times New Roman" w:hAnsi="Times New Roman" w:cs="Times New Roman"/>
          <w:color w:val="000000"/>
          <w:sz w:val="24"/>
          <w:szCs w:val="24"/>
          <w:shd w:val="clear" w:color="auto" w:fill="FFFFFF"/>
          <w:lang w:val="en-CA"/>
        </w:rPr>
        <w:t xml:space="preserve"> not live or work in the prohibited area and that certain provisions had been made</w:t>
      </w:r>
      <w:r w:rsidR="00F107B3">
        <w:rPr>
          <w:rFonts w:ascii="Times New Roman" w:hAnsi="Times New Roman" w:cs="Times New Roman"/>
          <w:color w:val="000000"/>
          <w:sz w:val="24"/>
          <w:szCs w:val="24"/>
          <w:shd w:val="clear" w:color="auto" w:fill="FFFFFF"/>
          <w:lang w:val="en-CA"/>
        </w:rPr>
        <w:t>,</w:t>
      </w:r>
      <w:r w:rsidR="00F107B3" w:rsidRPr="00F107B3">
        <w:rPr>
          <w:rFonts w:ascii="Times New Roman" w:hAnsi="Times New Roman" w:cs="Times New Roman"/>
          <w:color w:val="000000"/>
          <w:sz w:val="24"/>
          <w:szCs w:val="24"/>
          <w:shd w:val="clear" w:color="auto" w:fill="FFFFFF"/>
          <w:lang w:val="en-CA"/>
        </w:rPr>
        <w:t xml:space="preserve"> so that he</w:t>
      </w:r>
      <w:r w:rsidR="00F107B3">
        <w:rPr>
          <w:rFonts w:ascii="Times New Roman" w:hAnsi="Times New Roman" w:cs="Times New Roman"/>
          <w:color w:val="000000"/>
          <w:sz w:val="24"/>
          <w:szCs w:val="24"/>
          <w:shd w:val="clear" w:color="auto" w:fill="FFFFFF"/>
          <w:lang w:val="en-CA"/>
        </w:rPr>
        <w:t xml:space="preserve"> could enter the prohibited area to collect,</w:t>
      </w:r>
      <w:r w:rsidR="00F107B3" w:rsidRPr="00F107B3">
        <w:rPr>
          <w:rFonts w:ascii="Times New Roman" w:hAnsi="Times New Roman" w:cs="Times New Roman"/>
          <w:color w:val="000000"/>
          <w:sz w:val="24"/>
          <w:szCs w:val="24"/>
          <w:shd w:val="clear" w:color="auto" w:fill="FFFFFF"/>
          <w:lang w:val="en-CA"/>
        </w:rPr>
        <w:t xml:space="preserve"> amongst others</w:t>
      </w:r>
      <w:r w:rsidR="00F107B3">
        <w:rPr>
          <w:rFonts w:ascii="Times New Roman" w:hAnsi="Times New Roman" w:cs="Times New Roman"/>
          <w:color w:val="000000"/>
          <w:sz w:val="24"/>
          <w:szCs w:val="24"/>
          <w:shd w:val="clear" w:color="auto" w:fill="FFFFFF"/>
          <w:lang w:val="en-CA"/>
        </w:rPr>
        <w:t>,</w:t>
      </w:r>
      <w:r w:rsidR="00F107B3" w:rsidRPr="00F107B3">
        <w:rPr>
          <w:rFonts w:ascii="Times New Roman" w:hAnsi="Times New Roman" w:cs="Times New Roman"/>
          <w:color w:val="000000"/>
          <w:sz w:val="24"/>
          <w:szCs w:val="24"/>
          <w:shd w:val="clear" w:color="auto" w:fill="FFFFFF"/>
          <w:lang w:val="en-CA"/>
        </w:rPr>
        <w:t xml:space="preserve"> his </w:t>
      </w:r>
      <w:r w:rsidR="00F107B3">
        <w:rPr>
          <w:rFonts w:ascii="Times New Roman" w:hAnsi="Times New Roman" w:cs="Times New Roman"/>
          <w:color w:val="000000"/>
          <w:sz w:val="24"/>
          <w:szCs w:val="24"/>
          <w:shd w:val="clear" w:color="auto" w:fill="FFFFFF"/>
          <w:lang w:val="en-CA"/>
        </w:rPr>
        <w:t>ma</w:t>
      </w:r>
      <w:r w:rsidR="00F107B3" w:rsidRPr="00F107B3">
        <w:rPr>
          <w:rFonts w:ascii="Times New Roman" w:hAnsi="Times New Roman" w:cs="Times New Roman"/>
          <w:color w:val="000000"/>
          <w:sz w:val="24"/>
          <w:szCs w:val="24"/>
          <w:shd w:val="clear" w:color="auto" w:fill="FFFFFF"/>
          <w:lang w:val="en-CA"/>
        </w:rPr>
        <w:t>il</w:t>
      </w:r>
      <w:r w:rsidR="00F107B3">
        <w:rPr>
          <w:rStyle w:val="Odwoanieprzypisudolnego"/>
          <w:rFonts w:ascii="Times New Roman" w:hAnsi="Times New Roman" w:cs="Times New Roman"/>
          <w:color w:val="000000"/>
          <w:sz w:val="24"/>
          <w:szCs w:val="24"/>
          <w:shd w:val="clear" w:color="auto" w:fill="FFFFFF"/>
          <w:lang w:val="en-CA"/>
        </w:rPr>
        <w:footnoteReference w:id="64"/>
      </w:r>
      <w:r w:rsidR="00F41070" w:rsidRPr="00F107B3">
        <w:rPr>
          <w:rFonts w:ascii="Times New Roman" w:hAnsi="Times New Roman" w:cs="Times New Roman"/>
          <w:sz w:val="24"/>
          <w:szCs w:val="24"/>
          <w:lang w:val="en-US"/>
        </w:rPr>
        <w:t xml:space="preserve">. </w:t>
      </w:r>
      <w:r>
        <w:rPr>
          <w:rFonts w:ascii="Times New Roman" w:hAnsi="Times New Roman" w:cs="Times New Roman"/>
          <w:sz w:val="24"/>
          <w:szCs w:val="24"/>
          <w:lang w:val="en-US"/>
        </w:rPr>
        <w:t>It is thus more correct to say that the</w:t>
      </w:r>
      <w:r>
        <w:rPr>
          <w:rStyle w:val="apple-converted-space"/>
          <w:rFonts w:ascii="Times New Roman" w:hAnsi="Times New Roman" w:cs="Times New Roman"/>
          <w:bCs/>
          <w:sz w:val="24"/>
          <w:szCs w:val="24"/>
          <w:lang w:val="en-CA"/>
        </w:rPr>
        <w:t xml:space="preserve"> proportionality test at </w:t>
      </w:r>
      <w:r w:rsidR="00C6709D">
        <w:rPr>
          <w:rStyle w:val="apple-converted-space"/>
          <w:rFonts w:ascii="Times New Roman" w:hAnsi="Times New Roman" w:cs="Times New Roman"/>
          <w:bCs/>
          <w:sz w:val="24"/>
          <w:szCs w:val="24"/>
          <w:lang w:val="en-CA"/>
        </w:rPr>
        <w:t xml:space="preserve">the </w:t>
      </w:r>
      <w:r>
        <w:rPr>
          <w:rStyle w:val="apple-converted-space"/>
          <w:rFonts w:ascii="Times New Roman" w:hAnsi="Times New Roman" w:cs="Times New Roman"/>
          <w:bCs/>
          <w:sz w:val="24"/>
          <w:szCs w:val="24"/>
          <w:lang w:val="en-CA"/>
        </w:rPr>
        <w:t>European</w:t>
      </w:r>
      <w:r w:rsidR="001551B3">
        <w:rPr>
          <w:rStyle w:val="apple-converted-space"/>
          <w:rFonts w:ascii="Times New Roman" w:hAnsi="Times New Roman" w:cs="Times New Roman"/>
          <w:bCs/>
          <w:sz w:val="24"/>
          <w:szCs w:val="24"/>
          <w:lang w:val="en-CA"/>
        </w:rPr>
        <w:t xml:space="preserve"> human rights</w:t>
      </w:r>
      <w:r>
        <w:rPr>
          <w:rStyle w:val="apple-converted-space"/>
          <w:rFonts w:ascii="Times New Roman" w:hAnsi="Times New Roman" w:cs="Times New Roman"/>
          <w:bCs/>
          <w:sz w:val="24"/>
          <w:szCs w:val="24"/>
          <w:lang w:val="en-CA"/>
        </w:rPr>
        <w:t xml:space="preserve"> level constitutes</w:t>
      </w:r>
      <w:r w:rsidRPr="003B496A">
        <w:rPr>
          <w:rStyle w:val="apple-converted-space"/>
          <w:rFonts w:ascii="Times New Roman" w:hAnsi="Times New Roman" w:cs="Times New Roman"/>
          <w:bCs/>
          <w:sz w:val="24"/>
          <w:szCs w:val="24"/>
          <w:lang w:val="en-CA"/>
        </w:rPr>
        <w:t xml:space="preserve"> an ‘aim</w:t>
      </w:r>
      <w:r w:rsidR="00896269">
        <w:rPr>
          <w:rStyle w:val="apple-converted-space"/>
          <w:rFonts w:ascii="Times New Roman" w:hAnsi="Times New Roman" w:cs="Times New Roman"/>
          <w:bCs/>
          <w:sz w:val="24"/>
          <w:szCs w:val="24"/>
          <w:lang w:val="en-CA"/>
        </w:rPr>
        <w:t>s</w:t>
      </w:r>
      <w:r w:rsidRPr="003B496A">
        <w:rPr>
          <w:rStyle w:val="apple-converted-space"/>
          <w:rFonts w:ascii="Times New Roman" w:hAnsi="Times New Roman" w:cs="Times New Roman"/>
          <w:bCs/>
          <w:sz w:val="24"/>
          <w:szCs w:val="24"/>
          <w:lang w:val="en-CA"/>
        </w:rPr>
        <w:t>-means-consequences</w:t>
      </w:r>
      <w:r w:rsidR="004702EB">
        <w:rPr>
          <w:rStyle w:val="apple-converted-space"/>
          <w:rFonts w:ascii="Times New Roman" w:hAnsi="Times New Roman" w:cs="Times New Roman"/>
          <w:bCs/>
          <w:sz w:val="24"/>
          <w:szCs w:val="24"/>
          <w:lang w:val="en-CA"/>
        </w:rPr>
        <w:t>’</w:t>
      </w:r>
      <w:r w:rsidRPr="003B496A">
        <w:rPr>
          <w:rStyle w:val="apple-converted-space"/>
          <w:rFonts w:ascii="Times New Roman" w:hAnsi="Times New Roman" w:cs="Times New Roman"/>
          <w:bCs/>
          <w:sz w:val="24"/>
          <w:szCs w:val="24"/>
          <w:lang w:val="en-CA"/>
        </w:rPr>
        <w:t xml:space="preserve"> balance instead of only an ‘aim</w:t>
      </w:r>
      <w:r w:rsidR="004702EB">
        <w:rPr>
          <w:rStyle w:val="apple-converted-space"/>
          <w:rFonts w:ascii="Times New Roman" w:hAnsi="Times New Roman" w:cs="Times New Roman"/>
          <w:bCs/>
          <w:sz w:val="24"/>
          <w:szCs w:val="24"/>
          <w:lang w:val="en-CA"/>
        </w:rPr>
        <w:t>s</w:t>
      </w:r>
      <w:r w:rsidRPr="003B496A">
        <w:rPr>
          <w:rStyle w:val="apple-converted-space"/>
          <w:rFonts w:ascii="Times New Roman" w:hAnsi="Times New Roman" w:cs="Times New Roman"/>
          <w:bCs/>
          <w:sz w:val="24"/>
          <w:szCs w:val="24"/>
          <w:lang w:val="en-CA"/>
        </w:rPr>
        <w:t>-means</w:t>
      </w:r>
      <w:r w:rsidR="004702EB">
        <w:rPr>
          <w:rStyle w:val="apple-converted-space"/>
          <w:rFonts w:ascii="Times New Roman" w:hAnsi="Times New Roman" w:cs="Times New Roman"/>
          <w:bCs/>
          <w:sz w:val="24"/>
          <w:szCs w:val="24"/>
          <w:lang w:val="en-CA"/>
        </w:rPr>
        <w:t>’</w:t>
      </w:r>
      <w:r w:rsidRPr="003B496A">
        <w:rPr>
          <w:rStyle w:val="apple-converted-space"/>
          <w:rFonts w:ascii="Times New Roman" w:hAnsi="Times New Roman" w:cs="Times New Roman"/>
          <w:bCs/>
          <w:sz w:val="24"/>
          <w:szCs w:val="24"/>
          <w:lang w:val="en-CA"/>
        </w:rPr>
        <w:t xml:space="preserve"> balance</w:t>
      </w:r>
      <w:r w:rsidRPr="003B496A">
        <w:rPr>
          <w:rStyle w:val="Odwoanieprzypisudolnego"/>
          <w:rFonts w:ascii="Times New Roman" w:hAnsi="Times New Roman" w:cs="Times New Roman"/>
          <w:bCs/>
          <w:sz w:val="24"/>
          <w:szCs w:val="24"/>
          <w:lang w:val="en-CA"/>
        </w:rPr>
        <w:footnoteReference w:id="65"/>
      </w:r>
      <w:r w:rsidR="00F107B3">
        <w:rPr>
          <w:rStyle w:val="apple-converted-space"/>
          <w:rFonts w:ascii="Times New Roman" w:hAnsi="Times New Roman" w:cs="Times New Roman"/>
          <w:bCs/>
          <w:sz w:val="24"/>
          <w:szCs w:val="24"/>
          <w:lang w:val="en-CA"/>
        </w:rPr>
        <w:t>.</w:t>
      </w:r>
    </w:p>
    <w:p w14:paraId="671705BF" w14:textId="77777777" w:rsidR="00D57570" w:rsidRPr="004702EB" w:rsidRDefault="00D57570" w:rsidP="00D57570">
      <w:pPr>
        <w:autoSpaceDE w:val="0"/>
        <w:autoSpaceDN w:val="0"/>
        <w:adjustRightInd w:val="0"/>
        <w:spacing w:after="0"/>
        <w:jc w:val="both"/>
        <w:rPr>
          <w:rFonts w:ascii="Times New Roman" w:hAnsi="Times New Roman" w:cs="Times New Roman"/>
          <w:sz w:val="24"/>
          <w:szCs w:val="24"/>
          <w:lang w:val="en-CA"/>
        </w:rPr>
      </w:pPr>
    </w:p>
    <w:p w14:paraId="4D0360B6" w14:textId="66254F4F" w:rsidR="002B4894" w:rsidRDefault="00C6709D" w:rsidP="002B4894">
      <w:pPr>
        <w:autoSpaceDE w:val="0"/>
        <w:autoSpaceDN w:val="0"/>
        <w:adjustRightInd w:val="0"/>
        <w:spacing w:after="0"/>
        <w:jc w:val="both"/>
        <w:rPr>
          <w:rFonts w:ascii="Times New Roman" w:hAnsi="Times New Roman" w:cs="Times New Roman"/>
          <w:sz w:val="24"/>
          <w:szCs w:val="24"/>
          <w:lang w:val="en-US"/>
        </w:rPr>
      </w:pPr>
      <w:r w:rsidRPr="00A7512D">
        <w:rPr>
          <w:rFonts w:ascii="Times New Roman" w:hAnsi="Times New Roman" w:cs="Times New Roman"/>
          <w:sz w:val="24"/>
          <w:szCs w:val="24"/>
          <w:lang w:val="en-US"/>
        </w:rPr>
        <w:t>However,</w:t>
      </w:r>
      <w:r w:rsidR="001551B3">
        <w:rPr>
          <w:rFonts w:ascii="Times New Roman" w:hAnsi="Times New Roman" w:cs="Times New Roman"/>
          <w:sz w:val="24"/>
          <w:szCs w:val="24"/>
          <w:lang w:val="en-US"/>
        </w:rPr>
        <w:t xml:space="preserve"> </w:t>
      </w:r>
      <w:r w:rsidR="00933DEA">
        <w:rPr>
          <w:rFonts w:ascii="Times New Roman" w:hAnsi="Times New Roman" w:cs="Times New Roman"/>
          <w:sz w:val="24"/>
          <w:szCs w:val="24"/>
          <w:lang w:val="en-US"/>
        </w:rPr>
        <w:t xml:space="preserve">the national authorities must not only take into account </w:t>
      </w:r>
      <w:r w:rsidR="001551B3">
        <w:rPr>
          <w:rFonts w:ascii="Times New Roman" w:hAnsi="Times New Roman" w:cs="Times New Roman"/>
          <w:sz w:val="24"/>
          <w:szCs w:val="24"/>
          <w:lang w:val="en-US"/>
        </w:rPr>
        <w:t>the right to freedom of movement in</w:t>
      </w:r>
      <w:r w:rsidRPr="00A7512D">
        <w:rPr>
          <w:rFonts w:ascii="Times New Roman" w:hAnsi="Times New Roman" w:cs="Times New Roman"/>
          <w:sz w:val="24"/>
          <w:szCs w:val="24"/>
          <w:lang w:val="en-US"/>
        </w:rPr>
        <w:t xml:space="preserve"> </w:t>
      </w:r>
      <w:r w:rsidR="00571696">
        <w:rPr>
          <w:rFonts w:ascii="Times New Roman" w:hAnsi="Times New Roman" w:cs="Times New Roman"/>
          <w:sz w:val="24"/>
          <w:szCs w:val="24"/>
          <w:lang w:val="en-US"/>
        </w:rPr>
        <w:t>Article</w:t>
      </w:r>
      <w:r w:rsidRPr="00A7512D">
        <w:rPr>
          <w:rFonts w:ascii="Times New Roman" w:hAnsi="Times New Roman" w:cs="Times New Roman"/>
          <w:sz w:val="24"/>
          <w:szCs w:val="24"/>
          <w:lang w:val="en-US"/>
        </w:rPr>
        <w:t xml:space="preserve"> 2 FAP and/or </w:t>
      </w:r>
      <w:r w:rsidR="00933DEA">
        <w:rPr>
          <w:rFonts w:ascii="Times New Roman" w:hAnsi="Times New Roman" w:cs="Times New Roman"/>
          <w:sz w:val="24"/>
          <w:szCs w:val="24"/>
          <w:lang w:val="en-US"/>
        </w:rPr>
        <w:t xml:space="preserve">via </w:t>
      </w:r>
      <w:r w:rsidRPr="00A7512D">
        <w:rPr>
          <w:rFonts w:ascii="Times New Roman" w:hAnsi="Times New Roman" w:cs="Times New Roman"/>
          <w:sz w:val="24"/>
          <w:szCs w:val="24"/>
          <w:lang w:val="en-US"/>
        </w:rPr>
        <w:t xml:space="preserve">the conditional rights in </w:t>
      </w:r>
      <w:r w:rsidR="00571696">
        <w:rPr>
          <w:rFonts w:ascii="Times New Roman" w:hAnsi="Times New Roman" w:cs="Times New Roman"/>
          <w:sz w:val="24"/>
          <w:szCs w:val="24"/>
          <w:lang w:val="en-US"/>
        </w:rPr>
        <w:t>Article</w:t>
      </w:r>
      <w:r w:rsidRPr="00A7512D">
        <w:rPr>
          <w:rFonts w:ascii="Times New Roman" w:hAnsi="Times New Roman" w:cs="Times New Roman"/>
          <w:sz w:val="24"/>
          <w:szCs w:val="24"/>
          <w:lang w:val="en-US"/>
        </w:rPr>
        <w:t>s 8, 10 and 11 ECHR</w:t>
      </w:r>
      <w:r w:rsidR="00933DEA">
        <w:rPr>
          <w:rFonts w:ascii="Times New Roman" w:hAnsi="Times New Roman" w:cs="Times New Roman"/>
          <w:sz w:val="24"/>
          <w:szCs w:val="24"/>
          <w:lang w:val="en-US"/>
        </w:rPr>
        <w:t>, when assessing the pr</w:t>
      </w:r>
      <w:r>
        <w:rPr>
          <w:rFonts w:ascii="Times New Roman" w:hAnsi="Times New Roman" w:cs="Times New Roman"/>
          <w:sz w:val="24"/>
          <w:szCs w:val="24"/>
          <w:lang w:val="en-US"/>
        </w:rPr>
        <w:t>oportionality of freedom-restricting measures</w:t>
      </w:r>
      <w:r w:rsidR="00567DC5">
        <w:rPr>
          <w:rFonts w:ascii="Times New Roman" w:hAnsi="Times New Roman" w:cs="Times New Roman"/>
          <w:sz w:val="24"/>
          <w:szCs w:val="24"/>
          <w:lang w:val="en-US"/>
        </w:rPr>
        <w:t>, such as area-based restrictions</w:t>
      </w:r>
      <w:r>
        <w:rPr>
          <w:rFonts w:ascii="Times New Roman" w:hAnsi="Times New Roman" w:cs="Times New Roman"/>
          <w:sz w:val="24"/>
          <w:szCs w:val="24"/>
          <w:lang w:val="en-US"/>
        </w:rPr>
        <w:t xml:space="preserve">. If the </w:t>
      </w:r>
      <w:r w:rsidR="00567DC5">
        <w:rPr>
          <w:rFonts w:ascii="Times New Roman" w:hAnsi="Times New Roman" w:cs="Times New Roman"/>
          <w:sz w:val="24"/>
          <w:szCs w:val="24"/>
          <w:lang w:val="en-US"/>
        </w:rPr>
        <w:t>area-based restriction</w:t>
      </w:r>
      <w:r>
        <w:rPr>
          <w:rFonts w:ascii="Times New Roman" w:hAnsi="Times New Roman" w:cs="Times New Roman"/>
          <w:sz w:val="24"/>
          <w:szCs w:val="24"/>
          <w:lang w:val="en-US"/>
        </w:rPr>
        <w:t xml:space="preserve"> is to be considered as </w:t>
      </w:r>
      <w:r w:rsidR="00F43FD2">
        <w:rPr>
          <w:rFonts w:ascii="Times New Roman" w:hAnsi="Times New Roman" w:cs="Times New Roman"/>
          <w:sz w:val="24"/>
          <w:szCs w:val="24"/>
          <w:lang w:val="en-US"/>
        </w:rPr>
        <w:t xml:space="preserve">a criminal charge </w:t>
      </w:r>
      <w:r>
        <w:rPr>
          <w:rFonts w:ascii="Times New Roman" w:hAnsi="Times New Roman" w:cs="Times New Roman"/>
          <w:sz w:val="24"/>
          <w:szCs w:val="24"/>
          <w:lang w:val="en-US"/>
        </w:rPr>
        <w:t>or a</w:t>
      </w:r>
      <w:r w:rsidR="00F43FD2">
        <w:rPr>
          <w:rFonts w:ascii="Times New Roman" w:hAnsi="Times New Roman" w:cs="Times New Roman"/>
          <w:sz w:val="24"/>
          <w:szCs w:val="24"/>
          <w:lang w:val="en-US"/>
        </w:rPr>
        <w:t>s civil</w:t>
      </w:r>
      <w:r>
        <w:rPr>
          <w:rFonts w:ascii="Times New Roman" w:hAnsi="Times New Roman" w:cs="Times New Roman"/>
          <w:sz w:val="24"/>
          <w:szCs w:val="24"/>
          <w:lang w:val="en-US"/>
        </w:rPr>
        <w:t xml:space="preserve"> for the purposes of </w:t>
      </w:r>
      <w:r w:rsidR="00571696">
        <w:rPr>
          <w:rFonts w:ascii="Times New Roman" w:hAnsi="Times New Roman" w:cs="Times New Roman"/>
          <w:sz w:val="24"/>
          <w:szCs w:val="24"/>
          <w:lang w:val="en-US"/>
        </w:rPr>
        <w:t>Article</w:t>
      </w:r>
      <w:r w:rsidR="00933DEA">
        <w:rPr>
          <w:rFonts w:ascii="Times New Roman" w:hAnsi="Times New Roman" w:cs="Times New Roman"/>
          <w:sz w:val="24"/>
          <w:szCs w:val="24"/>
          <w:lang w:val="en-US"/>
        </w:rPr>
        <w:t xml:space="preserve"> 6 ECHR, it </w:t>
      </w:r>
      <w:r w:rsidR="00F43FD2">
        <w:rPr>
          <w:rFonts w:ascii="Times New Roman" w:hAnsi="Times New Roman" w:cs="Times New Roman"/>
          <w:sz w:val="24"/>
          <w:szCs w:val="24"/>
          <w:lang w:val="en-US"/>
        </w:rPr>
        <w:t>must</w:t>
      </w:r>
      <w:r>
        <w:rPr>
          <w:rFonts w:ascii="Times New Roman" w:hAnsi="Times New Roman" w:cs="Times New Roman"/>
          <w:sz w:val="24"/>
          <w:szCs w:val="24"/>
          <w:lang w:val="en-US"/>
        </w:rPr>
        <w:t xml:space="preserve"> </w:t>
      </w:r>
      <w:r w:rsidR="00F43FD2">
        <w:rPr>
          <w:rFonts w:ascii="Times New Roman" w:hAnsi="Times New Roman" w:cs="Times New Roman"/>
          <w:sz w:val="24"/>
          <w:szCs w:val="24"/>
          <w:lang w:val="en-US"/>
        </w:rPr>
        <w:t>also meet the requirements resulting from th</w:t>
      </w:r>
      <w:r w:rsidR="00933DEA">
        <w:rPr>
          <w:rFonts w:ascii="Times New Roman" w:hAnsi="Times New Roman" w:cs="Times New Roman"/>
          <w:sz w:val="24"/>
          <w:szCs w:val="24"/>
          <w:lang w:val="en-US"/>
        </w:rPr>
        <w:t>at</w:t>
      </w:r>
      <w:r w:rsidR="00F43FD2">
        <w:rPr>
          <w:rFonts w:ascii="Times New Roman" w:hAnsi="Times New Roman" w:cs="Times New Roman"/>
          <w:sz w:val="24"/>
          <w:szCs w:val="24"/>
          <w:lang w:val="en-US"/>
        </w:rPr>
        <w:t xml:space="preserve"> </w:t>
      </w:r>
      <w:r w:rsidR="00571696">
        <w:rPr>
          <w:rFonts w:ascii="Times New Roman" w:hAnsi="Times New Roman" w:cs="Times New Roman"/>
          <w:sz w:val="24"/>
          <w:szCs w:val="24"/>
          <w:lang w:val="en-US"/>
        </w:rPr>
        <w:t>Article</w:t>
      </w:r>
      <w:r w:rsidR="00F43FD2">
        <w:rPr>
          <w:rFonts w:ascii="Times New Roman" w:hAnsi="Times New Roman" w:cs="Times New Roman"/>
          <w:sz w:val="24"/>
          <w:szCs w:val="24"/>
          <w:lang w:val="en-US"/>
        </w:rPr>
        <w:t xml:space="preserve">. </w:t>
      </w:r>
      <w:r w:rsidR="00F43FD2">
        <w:rPr>
          <w:rFonts w:ascii="Times New Roman" w:hAnsi="Times New Roman" w:cs="Times New Roman"/>
          <w:sz w:val="24"/>
          <w:szCs w:val="24"/>
          <w:lang w:val="en-US"/>
        </w:rPr>
        <w:lastRenderedPageBreak/>
        <w:t>As mentioned above, these requirements primarily constitute procedural</w:t>
      </w:r>
      <w:r w:rsidR="0086004B">
        <w:rPr>
          <w:rFonts w:ascii="Times New Roman" w:hAnsi="Times New Roman" w:cs="Times New Roman"/>
          <w:sz w:val="24"/>
          <w:szCs w:val="24"/>
          <w:lang w:val="en-US"/>
        </w:rPr>
        <w:t xml:space="preserve"> protections, such as the right to a court with full jurisdiction</w:t>
      </w:r>
      <w:r w:rsidR="00F43FD2">
        <w:rPr>
          <w:rFonts w:ascii="Times New Roman" w:hAnsi="Times New Roman" w:cs="Times New Roman"/>
          <w:sz w:val="24"/>
          <w:szCs w:val="24"/>
          <w:lang w:val="en-US"/>
        </w:rPr>
        <w:t xml:space="preserve">. </w:t>
      </w:r>
      <w:r w:rsidR="00571696">
        <w:rPr>
          <w:rFonts w:ascii="Times New Roman" w:hAnsi="Times New Roman" w:cs="Times New Roman"/>
          <w:sz w:val="24"/>
          <w:szCs w:val="24"/>
          <w:lang w:val="en-US"/>
        </w:rPr>
        <w:t>Article</w:t>
      </w:r>
      <w:r w:rsidR="00F43FD2">
        <w:rPr>
          <w:rFonts w:ascii="Times New Roman" w:hAnsi="Times New Roman" w:cs="Times New Roman"/>
          <w:sz w:val="24"/>
          <w:szCs w:val="24"/>
          <w:lang w:val="en-US"/>
        </w:rPr>
        <w:t xml:space="preserve"> 6 does not comprise any substantive safeguards, let alone an</w:t>
      </w:r>
      <w:r w:rsidR="00757880">
        <w:rPr>
          <w:rFonts w:ascii="Times New Roman" w:hAnsi="Times New Roman" w:cs="Times New Roman"/>
          <w:sz w:val="24"/>
          <w:szCs w:val="24"/>
          <w:lang w:val="en-US"/>
        </w:rPr>
        <w:t xml:space="preserve"> independent proportionality test</w:t>
      </w:r>
      <w:r w:rsidR="00F43FD2">
        <w:rPr>
          <w:rFonts w:ascii="Times New Roman" w:hAnsi="Times New Roman" w:cs="Times New Roman"/>
          <w:sz w:val="24"/>
          <w:szCs w:val="24"/>
          <w:lang w:val="en-US"/>
        </w:rPr>
        <w:t xml:space="preserve">. </w:t>
      </w:r>
    </w:p>
    <w:p w14:paraId="01A61A09" w14:textId="77777777" w:rsidR="002B4894" w:rsidRDefault="002B4894" w:rsidP="002B4894">
      <w:pPr>
        <w:autoSpaceDE w:val="0"/>
        <w:autoSpaceDN w:val="0"/>
        <w:adjustRightInd w:val="0"/>
        <w:spacing w:after="0"/>
        <w:jc w:val="both"/>
        <w:rPr>
          <w:rFonts w:ascii="Times New Roman" w:hAnsi="Times New Roman" w:cs="Times New Roman"/>
          <w:sz w:val="24"/>
          <w:szCs w:val="24"/>
          <w:lang w:val="en-US"/>
        </w:rPr>
      </w:pPr>
    </w:p>
    <w:p w14:paraId="4457667E" w14:textId="0FE9CE15" w:rsidR="008D55F0" w:rsidRPr="00F72E3A" w:rsidRDefault="002B4894" w:rsidP="008D55F0">
      <w:pPr>
        <w:autoSpaceDE w:val="0"/>
        <w:autoSpaceDN w:val="0"/>
        <w:adjustRightInd w:val="0"/>
        <w:spacing w:after="0"/>
        <w:jc w:val="both"/>
        <w:rPr>
          <w:rFonts w:ascii="Times New Roman" w:hAnsi="Times New Roman" w:cs="Times New Roman"/>
          <w:sz w:val="24"/>
          <w:szCs w:val="24"/>
          <w:lang w:val="en-CA"/>
        </w:rPr>
      </w:pPr>
      <w:r>
        <w:rPr>
          <w:rFonts w:ascii="Times New Roman" w:hAnsi="Times New Roman" w:cs="Times New Roman"/>
          <w:sz w:val="24"/>
          <w:szCs w:val="24"/>
          <w:lang w:val="en-US"/>
        </w:rPr>
        <w:t>Despite th</w:t>
      </w:r>
      <w:r w:rsidR="00933DEA">
        <w:rPr>
          <w:rFonts w:ascii="Times New Roman" w:hAnsi="Times New Roman" w:cs="Times New Roman"/>
          <w:sz w:val="24"/>
          <w:szCs w:val="24"/>
          <w:lang w:val="en-US"/>
        </w:rPr>
        <w:t>is</w:t>
      </w:r>
      <w:r>
        <w:rPr>
          <w:rFonts w:ascii="Times New Roman" w:hAnsi="Times New Roman" w:cs="Times New Roman"/>
          <w:sz w:val="24"/>
          <w:szCs w:val="24"/>
          <w:lang w:val="en-US"/>
        </w:rPr>
        <w:t xml:space="preserve"> absence of an independent proportionality test in Article 6 ECHR</w:t>
      </w:r>
      <w:r w:rsidR="00F43FD2">
        <w:rPr>
          <w:rFonts w:ascii="Times New Roman" w:hAnsi="Times New Roman" w:cs="Times New Roman"/>
          <w:sz w:val="24"/>
          <w:szCs w:val="24"/>
          <w:lang w:val="en-US"/>
        </w:rPr>
        <w:t xml:space="preserve">, </w:t>
      </w:r>
      <w:r w:rsidR="00757880">
        <w:rPr>
          <w:rFonts w:ascii="Times New Roman" w:hAnsi="Times New Roman" w:cs="Times New Roman"/>
          <w:sz w:val="24"/>
          <w:szCs w:val="24"/>
          <w:lang w:val="en-US"/>
        </w:rPr>
        <w:t xml:space="preserve">it appears from the Strasbourg Court’s case law that </w:t>
      </w:r>
      <w:r w:rsidR="00933DEA">
        <w:rPr>
          <w:rFonts w:ascii="Times New Roman" w:hAnsi="Times New Roman" w:cs="Times New Roman"/>
          <w:sz w:val="24"/>
          <w:szCs w:val="24"/>
          <w:lang w:val="en-US"/>
        </w:rPr>
        <w:t xml:space="preserve">this </w:t>
      </w:r>
      <w:r w:rsidR="00571696">
        <w:rPr>
          <w:rFonts w:ascii="Times New Roman" w:hAnsi="Times New Roman" w:cs="Times New Roman"/>
          <w:sz w:val="24"/>
          <w:szCs w:val="24"/>
          <w:lang w:val="en-US"/>
        </w:rPr>
        <w:t>Article</w:t>
      </w:r>
      <w:r w:rsidR="0086004B">
        <w:rPr>
          <w:rFonts w:ascii="Times New Roman" w:hAnsi="Times New Roman" w:cs="Times New Roman"/>
          <w:sz w:val="24"/>
          <w:szCs w:val="24"/>
          <w:lang w:val="en-US"/>
        </w:rPr>
        <w:t xml:space="preserve"> </w:t>
      </w:r>
      <w:r w:rsidR="00F107B3">
        <w:rPr>
          <w:rFonts w:ascii="Times New Roman" w:hAnsi="Times New Roman" w:cs="Times New Roman"/>
          <w:sz w:val="24"/>
          <w:szCs w:val="24"/>
          <w:lang w:val="en-US"/>
        </w:rPr>
        <w:t>might</w:t>
      </w:r>
      <w:r w:rsidR="00933DEA">
        <w:rPr>
          <w:rFonts w:ascii="Times New Roman" w:hAnsi="Times New Roman" w:cs="Times New Roman"/>
          <w:sz w:val="24"/>
          <w:szCs w:val="24"/>
          <w:lang w:val="en-US"/>
        </w:rPr>
        <w:t xml:space="preserve"> yet</w:t>
      </w:r>
      <w:r w:rsidR="00757880">
        <w:rPr>
          <w:rFonts w:ascii="Times New Roman" w:hAnsi="Times New Roman" w:cs="Times New Roman"/>
          <w:sz w:val="24"/>
          <w:szCs w:val="24"/>
          <w:lang w:val="en-US"/>
        </w:rPr>
        <w:t xml:space="preserve"> have an </w:t>
      </w:r>
      <w:r w:rsidR="0086004B">
        <w:rPr>
          <w:rFonts w:ascii="Times New Roman" w:hAnsi="Times New Roman" w:cs="Times New Roman"/>
          <w:sz w:val="24"/>
          <w:szCs w:val="24"/>
          <w:lang w:val="en-US"/>
        </w:rPr>
        <w:t xml:space="preserve">effect, albeit indirectly, on the </w:t>
      </w:r>
      <w:r w:rsidR="009E40D1">
        <w:rPr>
          <w:rFonts w:ascii="Times New Roman" w:hAnsi="Times New Roman" w:cs="Times New Roman"/>
          <w:sz w:val="24"/>
          <w:szCs w:val="24"/>
          <w:lang w:val="en-US"/>
        </w:rPr>
        <w:t xml:space="preserve">content of the </w:t>
      </w:r>
      <w:r w:rsidR="00F43FD2">
        <w:rPr>
          <w:rFonts w:ascii="Times New Roman" w:hAnsi="Times New Roman" w:cs="Times New Roman"/>
          <w:sz w:val="24"/>
          <w:szCs w:val="24"/>
          <w:lang w:val="en-US"/>
        </w:rPr>
        <w:t>proportionality</w:t>
      </w:r>
      <w:r w:rsidR="00757880">
        <w:rPr>
          <w:rFonts w:ascii="Times New Roman" w:hAnsi="Times New Roman" w:cs="Times New Roman"/>
          <w:sz w:val="24"/>
          <w:szCs w:val="24"/>
          <w:lang w:val="en-US"/>
        </w:rPr>
        <w:t xml:space="preserve"> principle</w:t>
      </w:r>
      <w:r w:rsidR="009E40D1">
        <w:rPr>
          <w:rFonts w:ascii="Times New Roman" w:hAnsi="Times New Roman" w:cs="Times New Roman"/>
          <w:sz w:val="24"/>
          <w:szCs w:val="24"/>
          <w:lang w:val="en-US"/>
        </w:rPr>
        <w:t xml:space="preserve">. This indirect effect </w:t>
      </w:r>
      <w:r w:rsidR="00933DEA">
        <w:rPr>
          <w:rFonts w:ascii="Times New Roman" w:hAnsi="Times New Roman" w:cs="Times New Roman"/>
          <w:sz w:val="24"/>
          <w:szCs w:val="24"/>
          <w:lang w:val="en-US"/>
        </w:rPr>
        <w:t>can</w:t>
      </w:r>
      <w:r w:rsidR="009E40D1">
        <w:rPr>
          <w:rFonts w:ascii="Times New Roman" w:hAnsi="Times New Roman" w:cs="Times New Roman"/>
          <w:sz w:val="24"/>
          <w:szCs w:val="24"/>
          <w:lang w:val="en-US"/>
        </w:rPr>
        <w:t xml:space="preserve"> be derived from the Strasbourg Court’s case law </w:t>
      </w:r>
      <w:r w:rsidR="00933DEA">
        <w:rPr>
          <w:rFonts w:ascii="Times New Roman" w:hAnsi="Times New Roman" w:cs="Times New Roman"/>
          <w:sz w:val="24"/>
          <w:szCs w:val="24"/>
          <w:lang w:val="en-US"/>
        </w:rPr>
        <w:t>with regard</w:t>
      </w:r>
      <w:r w:rsidR="009E40D1">
        <w:rPr>
          <w:rFonts w:ascii="Times New Roman" w:hAnsi="Times New Roman" w:cs="Times New Roman"/>
          <w:sz w:val="24"/>
          <w:szCs w:val="24"/>
          <w:lang w:val="en-US"/>
        </w:rPr>
        <w:t xml:space="preserve"> to t</w:t>
      </w:r>
      <w:r w:rsidR="00757880">
        <w:rPr>
          <w:rFonts w:ascii="Times New Roman" w:hAnsi="Times New Roman" w:cs="Times New Roman"/>
          <w:sz w:val="24"/>
          <w:szCs w:val="24"/>
          <w:lang w:val="en-US"/>
        </w:rPr>
        <w:t xml:space="preserve">he </w:t>
      </w:r>
      <w:r w:rsidR="009E40D1">
        <w:rPr>
          <w:rFonts w:ascii="Times New Roman" w:hAnsi="Times New Roman" w:cs="Times New Roman"/>
          <w:sz w:val="24"/>
          <w:szCs w:val="24"/>
          <w:lang w:val="en-US"/>
        </w:rPr>
        <w:t xml:space="preserve">right to </w:t>
      </w:r>
      <w:r>
        <w:rPr>
          <w:rFonts w:ascii="Times New Roman" w:hAnsi="Times New Roman" w:cs="Times New Roman"/>
          <w:sz w:val="24"/>
          <w:szCs w:val="24"/>
          <w:lang w:val="en-US"/>
        </w:rPr>
        <w:t>a court with</w:t>
      </w:r>
      <w:r w:rsidR="00757880">
        <w:rPr>
          <w:rFonts w:ascii="Times New Roman" w:hAnsi="Times New Roman" w:cs="Times New Roman"/>
          <w:sz w:val="24"/>
          <w:szCs w:val="24"/>
          <w:lang w:val="en-US"/>
        </w:rPr>
        <w:t xml:space="preserve"> </w:t>
      </w:r>
      <w:r w:rsidR="0086004B">
        <w:rPr>
          <w:rFonts w:ascii="Times New Roman" w:hAnsi="Times New Roman" w:cs="Times New Roman"/>
          <w:sz w:val="24"/>
          <w:szCs w:val="24"/>
          <w:lang w:val="en-US"/>
        </w:rPr>
        <w:t>full jurisdiction</w:t>
      </w:r>
      <w:r w:rsidR="009E40D1">
        <w:rPr>
          <w:rFonts w:ascii="Times New Roman" w:hAnsi="Times New Roman" w:cs="Times New Roman"/>
          <w:sz w:val="24"/>
          <w:szCs w:val="24"/>
          <w:lang w:val="en-US"/>
        </w:rPr>
        <w:t>, which is</w:t>
      </w:r>
      <w:r w:rsidR="00933DEA">
        <w:rPr>
          <w:rFonts w:ascii="Times New Roman" w:hAnsi="Times New Roman" w:cs="Times New Roman"/>
          <w:sz w:val="24"/>
          <w:szCs w:val="24"/>
          <w:lang w:val="en-US"/>
        </w:rPr>
        <w:t xml:space="preserve"> a procedural safeguard resulting from Article 6(1) ECHR and which is</w:t>
      </w:r>
      <w:r w:rsidR="009E40D1">
        <w:rPr>
          <w:rFonts w:ascii="Times New Roman" w:hAnsi="Times New Roman" w:cs="Times New Roman"/>
          <w:sz w:val="24"/>
          <w:szCs w:val="24"/>
          <w:lang w:val="en-US"/>
        </w:rPr>
        <w:t xml:space="preserve"> </w:t>
      </w:r>
      <w:r w:rsidR="0086004B" w:rsidRPr="00735AC6">
        <w:rPr>
          <w:rFonts w:ascii="Times New Roman" w:hAnsi="Times New Roman" w:cs="Times New Roman"/>
          <w:sz w:val="24"/>
          <w:szCs w:val="24"/>
          <w:lang w:val="en-US"/>
        </w:rPr>
        <w:t xml:space="preserve">applicable to both criminal </w:t>
      </w:r>
      <w:r w:rsidR="00353FDA">
        <w:rPr>
          <w:rFonts w:ascii="Times New Roman" w:hAnsi="Times New Roman" w:cs="Times New Roman"/>
          <w:sz w:val="24"/>
          <w:szCs w:val="24"/>
          <w:lang w:val="en-US"/>
        </w:rPr>
        <w:t xml:space="preserve">and civil matters within the meaning of </w:t>
      </w:r>
      <w:r w:rsidR="00933DEA">
        <w:rPr>
          <w:rFonts w:ascii="Times New Roman" w:hAnsi="Times New Roman" w:cs="Times New Roman"/>
          <w:sz w:val="24"/>
          <w:szCs w:val="24"/>
          <w:lang w:val="en-US"/>
        </w:rPr>
        <w:t>that Article</w:t>
      </w:r>
      <w:r w:rsidR="009E40D1">
        <w:rPr>
          <w:rFonts w:ascii="Times New Roman" w:hAnsi="Times New Roman" w:cs="Times New Roman"/>
          <w:sz w:val="24"/>
          <w:szCs w:val="24"/>
          <w:lang w:val="en-US"/>
        </w:rPr>
        <w:t>. Th</w:t>
      </w:r>
      <w:r w:rsidR="0055634A">
        <w:rPr>
          <w:rFonts w:ascii="Times New Roman" w:hAnsi="Times New Roman" w:cs="Times New Roman"/>
          <w:sz w:val="24"/>
          <w:szCs w:val="24"/>
          <w:lang w:val="en-US"/>
        </w:rPr>
        <w:t>is</w:t>
      </w:r>
      <w:r w:rsidR="00933DEA">
        <w:rPr>
          <w:rFonts w:ascii="Times New Roman" w:hAnsi="Times New Roman" w:cs="Times New Roman"/>
          <w:sz w:val="24"/>
          <w:szCs w:val="24"/>
          <w:lang w:val="en-US"/>
        </w:rPr>
        <w:t xml:space="preserve"> right </w:t>
      </w:r>
      <w:r w:rsidR="0086004B" w:rsidRPr="00735AC6">
        <w:rPr>
          <w:rFonts w:ascii="Times New Roman" w:hAnsi="Times New Roman" w:cs="Times New Roman"/>
          <w:sz w:val="24"/>
          <w:szCs w:val="24"/>
          <w:lang w:val="en-US"/>
        </w:rPr>
        <w:t xml:space="preserve">requires </w:t>
      </w:r>
      <w:r w:rsidR="00603427" w:rsidRPr="00735AC6">
        <w:rPr>
          <w:rFonts w:ascii="Times New Roman" w:hAnsi="Times New Roman" w:cs="Times New Roman"/>
          <w:sz w:val="24"/>
          <w:szCs w:val="24"/>
          <w:lang w:val="en-US"/>
        </w:rPr>
        <w:t>in general</w:t>
      </w:r>
      <w:r w:rsidR="00B24689" w:rsidRPr="00735AC6">
        <w:rPr>
          <w:rFonts w:ascii="Times New Roman" w:hAnsi="Times New Roman" w:cs="Times New Roman"/>
          <w:sz w:val="24"/>
          <w:szCs w:val="24"/>
          <w:lang w:val="en-US"/>
        </w:rPr>
        <w:t xml:space="preserve"> </w:t>
      </w:r>
      <w:r w:rsidR="0086004B" w:rsidRPr="00735AC6">
        <w:rPr>
          <w:rFonts w:ascii="Times New Roman" w:hAnsi="Times New Roman" w:cs="Times New Roman"/>
          <w:sz w:val="24"/>
          <w:szCs w:val="24"/>
          <w:lang w:val="en-US"/>
        </w:rPr>
        <w:t xml:space="preserve">that </w:t>
      </w:r>
      <w:r w:rsidR="002B3E70" w:rsidRPr="00735AC6">
        <w:rPr>
          <w:rFonts w:ascii="Times New Roman" w:hAnsi="Times New Roman" w:cs="Times New Roman"/>
          <w:sz w:val="24"/>
          <w:szCs w:val="24"/>
          <w:lang w:val="en-US"/>
        </w:rPr>
        <w:t xml:space="preserve">the </w:t>
      </w:r>
      <w:r w:rsidR="009E40D1">
        <w:rPr>
          <w:rFonts w:ascii="Times New Roman" w:hAnsi="Times New Roman" w:cs="Times New Roman"/>
          <w:sz w:val="24"/>
          <w:szCs w:val="24"/>
          <w:lang w:val="en-US"/>
        </w:rPr>
        <w:t xml:space="preserve">domestic </w:t>
      </w:r>
      <w:r w:rsidR="002B3E70" w:rsidRPr="00735AC6">
        <w:rPr>
          <w:rFonts w:ascii="Times New Roman" w:hAnsi="Times New Roman" w:cs="Times New Roman"/>
          <w:sz w:val="24"/>
          <w:szCs w:val="24"/>
          <w:lang w:val="en-US"/>
        </w:rPr>
        <w:t>court has the competence to examine the case on points of fact</w:t>
      </w:r>
      <w:r w:rsidR="00933DEA">
        <w:rPr>
          <w:rFonts w:ascii="Times New Roman" w:hAnsi="Times New Roman" w:cs="Times New Roman"/>
          <w:sz w:val="24"/>
          <w:szCs w:val="24"/>
          <w:lang w:val="en-US"/>
        </w:rPr>
        <w:t>s</w:t>
      </w:r>
      <w:r w:rsidR="002B3E70" w:rsidRPr="00735AC6">
        <w:rPr>
          <w:rFonts w:ascii="Times New Roman" w:hAnsi="Times New Roman" w:cs="Times New Roman"/>
          <w:sz w:val="24"/>
          <w:szCs w:val="24"/>
          <w:lang w:val="en-US"/>
        </w:rPr>
        <w:t xml:space="preserve"> and law</w:t>
      </w:r>
      <w:r w:rsidR="00704847" w:rsidRPr="00735AC6">
        <w:rPr>
          <w:rStyle w:val="Odwoanieprzypisudolnego"/>
          <w:rFonts w:ascii="Times New Roman" w:hAnsi="Times New Roman" w:cs="Times New Roman"/>
          <w:sz w:val="24"/>
          <w:szCs w:val="24"/>
          <w:lang w:val="en-US"/>
        </w:rPr>
        <w:footnoteReference w:id="66"/>
      </w:r>
      <w:r w:rsidR="00B24689" w:rsidRPr="00735AC6">
        <w:rPr>
          <w:rFonts w:ascii="Times New Roman" w:hAnsi="Times New Roman" w:cs="Times New Roman"/>
          <w:sz w:val="24"/>
          <w:szCs w:val="24"/>
          <w:lang w:val="en-US"/>
        </w:rPr>
        <w:t xml:space="preserve">. However, it appears from the Strasbourg Court’s case law that </w:t>
      </w:r>
      <w:r w:rsidR="009E40D1">
        <w:rPr>
          <w:rFonts w:ascii="Times New Roman" w:hAnsi="Times New Roman" w:cs="Times New Roman"/>
          <w:sz w:val="24"/>
          <w:szCs w:val="24"/>
          <w:lang w:val="en-US"/>
        </w:rPr>
        <w:t>it</w:t>
      </w:r>
      <w:r w:rsidR="00B24689" w:rsidRPr="00735AC6">
        <w:rPr>
          <w:rFonts w:ascii="Times New Roman" w:hAnsi="Times New Roman" w:cs="Times New Roman"/>
          <w:sz w:val="24"/>
          <w:szCs w:val="24"/>
          <w:lang w:val="en-US"/>
        </w:rPr>
        <w:t xml:space="preserve"> also </w:t>
      </w:r>
      <w:r w:rsidR="006400BD">
        <w:rPr>
          <w:rFonts w:ascii="Times New Roman" w:hAnsi="Times New Roman" w:cs="Times New Roman"/>
          <w:sz w:val="24"/>
          <w:szCs w:val="24"/>
          <w:lang w:val="en-US"/>
        </w:rPr>
        <w:t>demands</w:t>
      </w:r>
      <w:r w:rsidR="004C78DA">
        <w:rPr>
          <w:rFonts w:ascii="Times New Roman" w:hAnsi="Times New Roman" w:cs="Times New Roman"/>
          <w:sz w:val="24"/>
          <w:szCs w:val="24"/>
          <w:lang w:val="en-US"/>
        </w:rPr>
        <w:t xml:space="preserve"> the domestic court to be able to assess the </w:t>
      </w:r>
      <w:r w:rsidR="004C78DA" w:rsidRPr="004C78DA">
        <w:rPr>
          <w:rFonts w:ascii="Times New Roman" w:hAnsi="Times New Roman" w:cs="Times New Roman"/>
          <w:i/>
          <w:sz w:val="24"/>
          <w:szCs w:val="24"/>
          <w:lang w:val="en-US"/>
        </w:rPr>
        <w:t>proportionality</w:t>
      </w:r>
      <w:r w:rsidR="004C78DA">
        <w:rPr>
          <w:rFonts w:ascii="Times New Roman" w:hAnsi="Times New Roman" w:cs="Times New Roman"/>
          <w:sz w:val="24"/>
          <w:szCs w:val="24"/>
          <w:lang w:val="en-US"/>
        </w:rPr>
        <w:t xml:space="preserve"> of the measure imposed. For instance, the Strasbourg Court referred t</w:t>
      </w:r>
      <w:r w:rsidR="006400BD">
        <w:rPr>
          <w:rFonts w:ascii="Times New Roman" w:hAnsi="Times New Roman" w:cs="Times New Roman"/>
          <w:sz w:val="24"/>
          <w:szCs w:val="24"/>
          <w:lang w:val="en-US"/>
        </w:rPr>
        <w:t>o the proportionality principle</w:t>
      </w:r>
      <w:r w:rsidR="004C78DA">
        <w:rPr>
          <w:rFonts w:ascii="Times New Roman" w:hAnsi="Times New Roman" w:cs="Times New Roman"/>
          <w:sz w:val="24"/>
          <w:szCs w:val="24"/>
          <w:lang w:val="en-US"/>
        </w:rPr>
        <w:t>, whe</w:t>
      </w:r>
      <w:r w:rsidR="00A35714">
        <w:rPr>
          <w:rFonts w:ascii="Times New Roman" w:hAnsi="Times New Roman" w:cs="Times New Roman"/>
          <w:sz w:val="24"/>
          <w:szCs w:val="24"/>
          <w:lang w:val="en-US"/>
        </w:rPr>
        <w:t xml:space="preserve">n considering that the </w:t>
      </w:r>
      <w:r w:rsidR="00353FDA">
        <w:rPr>
          <w:rFonts w:ascii="Times New Roman" w:hAnsi="Times New Roman" w:cs="Times New Roman"/>
          <w:sz w:val="24"/>
          <w:szCs w:val="24"/>
          <w:lang w:val="en-US"/>
        </w:rPr>
        <w:t xml:space="preserve">requirement of full jurisdiction </w:t>
      </w:r>
      <w:r w:rsidR="004C78DA">
        <w:rPr>
          <w:rFonts w:ascii="Times New Roman" w:hAnsi="Times New Roman" w:cs="Times New Roman"/>
          <w:sz w:val="24"/>
          <w:szCs w:val="24"/>
          <w:lang w:val="en-US"/>
        </w:rPr>
        <w:t>includes ‘</w:t>
      </w:r>
      <w:r w:rsidR="00353FDA">
        <w:rPr>
          <w:rFonts w:ascii="Times New Roman" w:hAnsi="Times New Roman" w:cs="Times New Roman"/>
          <w:sz w:val="24"/>
          <w:szCs w:val="24"/>
          <w:lang w:val="en-US"/>
        </w:rPr>
        <w:t xml:space="preserve">review </w:t>
      </w:r>
      <w:r w:rsidR="004C78DA">
        <w:rPr>
          <w:rFonts w:ascii="Times New Roman" w:hAnsi="Times New Roman" w:cs="Times New Roman"/>
          <w:sz w:val="24"/>
          <w:szCs w:val="24"/>
          <w:lang w:val="en-US"/>
        </w:rPr>
        <w:t xml:space="preserve">of </w:t>
      </w:r>
      <w:r w:rsidR="00A35714" w:rsidRPr="00A35714">
        <w:rPr>
          <w:rFonts w:ascii="Times New Roman" w:hAnsi="Times New Roman" w:cs="Times New Roman"/>
          <w:sz w:val="24"/>
          <w:szCs w:val="24"/>
          <w:lang w:val="en-US"/>
        </w:rPr>
        <w:t xml:space="preserve">the facts and </w:t>
      </w:r>
      <w:r w:rsidR="00A35714" w:rsidRPr="00933DEA">
        <w:rPr>
          <w:rFonts w:ascii="Times New Roman" w:hAnsi="Times New Roman" w:cs="Times New Roman"/>
          <w:sz w:val="24"/>
          <w:szCs w:val="24"/>
          <w:u w:val="single"/>
          <w:lang w:val="en-US"/>
        </w:rPr>
        <w:t>assessment of the proportionality</w:t>
      </w:r>
      <w:r w:rsidR="00353FDA" w:rsidRPr="00933DEA">
        <w:rPr>
          <w:rFonts w:ascii="Times New Roman" w:hAnsi="Times New Roman" w:cs="Times New Roman"/>
          <w:sz w:val="24"/>
          <w:szCs w:val="24"/>
          <w:u w:val="single"/>
          <w:lang w:val="en-US"/>
        </w:rPr>
        <w:t xml:space="preserve"> </w:t>
      </w:r>
      <w:r w:rsidR="00A35714" w:rsidRPr="00933DEA">
        <w:rPr>
          <w:rFonts w:ascii="Times New Roman" w:hAnsi="Times New Roman" w:cs="Times New Roman"/>
          <w:sz w:val="24"/>
          <w:szCs w:val="24"/>
          <w:u w:val="single"/>
          <w:lang w:val="en-US"/>
        </w:rPr>
        <w:t>between</w:t>
      </w:r>
      <w:r w:rsidR="00353FDA" w:rsidRPr="00933DEA">
        <w:rPr>
          <w:rFonts w:ascii="Times New Roman" w:hAnsi="Times New Roman" w:cs="Times New Roman"/>
          <w:sz w:val="24"/>
          <w:szCs w:val="24"/>
          <w:u w:val="single"/>
          <w:lang w:val="en-US"/>
        </w:rPr>
        <w:t xml:space="preserve"> </w:t>
      </w:r>
      <w:r w:rsidR="00A35714" w:rsidRPr="00933DEA">
        <w:rPr>
          <w:rFonts w:ascii="Times New Roman" w:hAnsi="Times New Roman" w:cs="Times New Roman"/>
          <w:sz w:val="24"/>
          <w:szCs w:val="24"/>
          <w:u w:val="single"/>
          <w:lang w:val="en-US"/>
        </w:rPr>
        <w:t>the fault and the sanction</w:t>
      </w:r>
      <w:r w:rsidR="002228A2">
        <w:rPr>
          <w:rFonts w:ascii="Times New Roman" w:hAnsi="Times New Roman" w:cs="Times New Roman"/>
          <w:sz w:val="24"/>
          <w:szCs w:val="24"/>
          <w:lang w:val="en-US"/>
        </w:rPr>
        <w:t>’ (emphasis added)</w:t>
      </w:r>
      <w:r w:rsidR="00353FDA" w:rsidRPr="00735AC6">
        <w:rPr>
          <w:rStyle w:val="Odwoanieprzypisudolnego"/>
          <w:rFonts w:ascii="Times New Roman" w:hAnsi="Times New Roman" w:cs="Times New Roman"/>
          <w:sz w:val="24"/>
          <w:szCs w:val="24"/>
          <w:lang w:val="en-US"/>
        </w:rPr>
        <w:footnoteReference w:id="67"/>
      </w:r>
      <w:r w:rsidR="004C78DA">
        <w:rPr>
          <w:rFonts w:ascii="Times New Roman" w:hAnsi="Times New Roman" w:cs="Times New Roman"/>
          <w:sz w:val="24"/>
          <w:szCs w:val="24"/>
          <w:lang w:val="en-US"/>
        </w:rPr>
        <w:t xml:space="preserve"> and</w:t>
      </w:r>
      <w:r w:rsidR="00353FDA">
        <w:rPr>
          <w:rFonts w:ascii="Times New Roman" w:hAnsi="Times New Roman" w:cs="Times New Roman"/>
          <w:sz w:val="24"/>
          <w:szCs w:val="24"/>
          <w:lang w:val="en-US"/>
        </w:rPr>
        <w:t xml:space="preserve"> ‘</w:t>
      </w:r>
      <w:r w:rsidR="00353FDA" w:rsidRPr="00353FDA">
        <w:rPr>
          <w:rFonts w:ascii="Times New Roman" w:hAnsi="Times New Roman" w:cs="Times New Roman"/>
          <w:sz w:val="24"/>
          <w:szCs w:val="24"/>
          <w:lang w:val="en-US"/>
        </w:rPr>
        <w:t xml:space="preserve">the competence to examine the case on points of fact and law as well as the </w:t>
      </w:r>
      <w:r w:rsidR="00353FDA" w:rsidRPr="002228A2">
        <w:rPr>
          <w:rFonts w:ascii="Times New Roman" w:hAnsi="Times New Roman" w:cs="Times New Roman"/>
          <w:sz w:val="24"/>
          <w:szCs w:val="24"/>
          <w:u w:val="single"/>
          <w:lang w:val="en-US"/>
        </w:rPr>
        <w:t>power to assess the proportionality of the penalty to the misconduct</w:t>
      </w:r>
      <w:r w:rsidR="002228A2">
        <w:rPr>
          <w:rFonts w:ascii="Times New Roman" w:hAnsi="Times New Roman" w:cs="Times New Roman"/>
          <w:sz w:val="24"/>
          <w:szCs w:val="24"/>
          <w:lang w:val="en-US"/>
        </w:rPr>
        <w:t>’ (emphasis added)</w:t>
      </w:r>
      <w:r w:rsidR="00353FDA" w:rsidRPr="00735AC6">
        <w:rPr>
          <w:rStyle w:val="Odwoanieprzypisudolnego"/>
          <w:rFonts w:ascii="Times New Roman" w:hAnsi="Times New Roman" w:cs="Times New Roman"/>
          <w:sz w:val="24"/>
          <w:szCs w:val="24"/>
          <w:lang w:val="en-US"/>
        </w:rPr>
        <w:footnoteReference w:id="68"/>
      </w:r>
      <w:r w:rsidR="00353FDA" w:rsidRPr="00735AC6">
        <w:rPr>
          <w:rFonts w:ascii="Times New Roman" w:hAnsi="Times New Roman" w:cs="Times New Roman"/>
          <w:sz w:val="24"/>
          <w:szCs w:val="24"/>
          <w:lang w:val="en-US"/>
        </w:rPr>
        <w:t>.</w:t>
      </w:r>
      <w:r w:rsidR="00A35714" w:rsidRPr="00735AC6">
        <w:rPr>
          <w:rFonts w:ascii="Times New Roman" w:hAnsi="Times New Roman" w:cs="Times New Roman"/>
          <w:sz w:val="24"/>
          <w:szCs w:val="24"/>
          <w:lang w:val="en-US"/>
        </w:rPr>
        <w:t xml:space="preserve"> </w:t>
      </w:r>
      <w:r w:rsidR="002228A2">
        <w:rPr>
          <w:rFonts w:ascii="Times New Roman" w:hAnsi="Times New Roman" w:cs="Times New Roman"/>
          <w:sz w:val="24"/>
          <w:szCs w:val="24"/>
          <w:lang w:val="en-US"/>
        </w:rPr>
        <w:t>In addition, i</w:t>
      </w:r>
      <w:r w:rsidR="009E40D1">
        <w:rPr>
          <w:rFonts w:ascii="Times New Roman" w:hAnsi="Times New Roman" w:cs="Times New Roman"/>
          <w:sz w:val="24"/>
          <w:szCs w:val="24"/>
          <w:lang w:val="en-US"/>
        </w:rPr>
        <w:t>t</w:t>
      </w:r>
      <w:r w:rsidR="004C78DA">
        <w:rPr>
          <w:rFonts w:ascii="Times New Roman" w:hAnsi="Times New Roman" w:cs="Times New Roman"/>
          <w:sz w:val="24"/>
          <w:szCs w:val="24"/>
          <w:lang w:val="en-US"/>
        </w:rPr>
        <w:t xml:space="preserve"> can be observed from t</w:t>
      </w:r>
      <w:r w:rsidR="006400BD">
        <w:rPr>
          <w:rFonts w:ascii="Times New Roman" w:hAnsi="Times New Roman" w:cs="Times New Roman"/>
          <w:sz w:val="24"/>
          <w:szCs w:val="24"/>
          <w:lang w:val="en-US"/>
        </w:rPr>
        <w:t>he above case law</w:t>
      </w:r>
      <w:r w:rsidR="004C78DA">
        <w:rPr>
          <w:rFonts w:ascii="Times New Roman" w:hAnsi="Times New Roman" w:cs="Times New Roman"/>
          <w:sz w:val="24"/>
          <w:szCs w:val="24"/>
          <w:lang w:val="en-US"/>
        </w:rPr>
        <w:t xml:space="preserve">, that the </w:t>
      </w:r>
      <w:r w:rsidR="004B426D">
        <w:rPr>
          <w:rFonts w:ascii="Times New Roman" w:hAnsi="Times New Roman" w:cs="Times New Roman"/>
          <w:sz w:val="24"/>
          <w:szCs w:val="24"/>
          <w:lang w:val="en-US"/>
        </w:rPr>
        <w:t>requirement of full jurisdiction not only requires</w:t>
      </w:r>
      <w:r w:rsidR="004C78DA">
        <w:rPr>
          <w:rFonts w:ascii="Times New Roman" w:hAnsi="Times New Roman" w:cs="Times New Roman"/>
          <w:sz w:val="24"/>
          <w:szCs w:val="24"/>
          <w:lang w:val="en-US"/>
        </w:rPr>
        <w:t xml:space="preserve"> the </w:t>
      </w:r>
      <w:r w:rsidR="006400BD">
        <w:rPr>
          <w:rFonts w:ascii="Times New Roman" w:hAnsi="Times New Roman" w:cs="Times New Roman"/>
          <w:sz w:val="24"/>
          <w:szCs w:val="24"/>
          <w:lang w:val="en-US"/>
        </w:rPr>
        <w:t xml:space="preserve">power for the </w:t>
      </w:r>
      <w:r w:rsidR="004C78DA">
        <w:rPr>
          <w:rFonts w:ascii="Times New Roman" w:hAnsi="Times New Roman" w:cs="Times New Roman"/>
          <w:sz w:val="24"/>
          <w:szCs w:val="24"/>
          <w:lang w:val="en-US"/>
        </w:rPr>
        <w:t>domestic court to assess the proportionality of the measure as such</w:t>
      </w:r>
      <w:r w:rsidR="006400BD">
        <w:rPr>
          <w:rFonts w:ascii="Times New Roman" w:hAnsi="Times New Roman" w:cs="Times New Roman"/>
          <w:sz w:val="24"/>
          <w:szCs w:val="24"/>
          <w:lang w:val="en-US"/>
        </w:rPr>
        <w:t xml:space="preserve">. This requirement </w:t>
      </w:r>
      <w:r w:rsidR="004C78DA">
        <w:rPr>
          <w:rFonts w:ascii="Times New Roman" w:hAnsi="Times New Roman" w:cs="Times New Roman"/>
          <w:sz w:val="24"/>
          <w:szCs w:val="24"/>
          <w:lang w:val="en-US"/>
        </w:rPr>
        <w:t xml:space="preserve">also has implications for the </w:t>
      </w:r>
      <w:r w:rsidR="004C78DA" w:rsidRPr="006400BD">
        <w:rPr>
          <w:rFonts w:ascii="Times New Roman" w:hAnsi="Times New Roman" w:cs="Times New Roman"/>
          <w:i/>
          <w:sz w:val="24"/>
          <w:szCs w:val="24"/>
          <w:lang w:val="en-US"/>
        </w:rPr>
        <w:t>content</w:t>
      </w:r>
      <w:r w:rsidR="004C78DA">
        <w:rPr>
          <w:rFonts w:ascii="Times New Roman" w:hAnsi="Times New Roman" w:cs="Times New Roman"/>
          <w:sz w:val="24"/>
          <w:szCs w:val="24"/>
          <w:lang w:val="en-US"/>
        </w:rPr>
        <w:t xml:space="preserve"> of the proportionality test. It can be </w:t>
      </w:r>
      <w:r w:rsidR="00F71322">
        <w:rPr>
          <w:rFonts w:ascii="Times New Roman" w:hAnsi="Times New Roman" w:cs="Times New Roman"/>
          <w:sz w:val="24"/>
          <w:szCs w:val="24"/>
          <w:lang w:val="en-US"/>
        </w:rPr>
        <w:t xml:space="preserve">tentatively </w:t>
      </w:r>
      <w:r w:rsidR="004C78DA">
        <w:rPr>
          <w:rFonts w:ascii="Times New Roman" w:hAnsi="Times New Roman" w:cs="Times New Roman"/>
          <w:sz w:val="24"/>
          <w:szCs w:val="24"/>
          <w:lang w:val="en-US"/>
        </w:rPr>
        <w:t>stated that</w:t>
      </w:r>
      <w:r w:rsidR="002228A2">
        <w:rPr>
          <w:rFonts w:ascii="Times New Roman" w:hAnsi="Times New Roman" w:cs="Times New Roman"/>
          <w:sz w:val="24"/>
          <w:szCs w:val="24"/>
          <w:lang w:val="en-US"/>
        </w:rPr>
        <w:t>, as is apparent from the above case law,</w:t>
      </w:r>
      <w:r w:rsidR="004C78DA">
        <w:rPr>
          <w:rFonts w:ascii="Times New Roman" w:hAnsi="Times New Roman" w:cs="Times New Roman"/>
          <w:sz w:val="24"/>
          <w:szCs w:val="24"/>
          <w:lang w:val="en-US"/>
        </w:rPr>
        <w:t xml:space="preserve"> t</w:t>
      </w:r>
      <w:r w:rsidR="00B24689" w:rsidRPr="00735AC6">
        <w:rPr>
          <w:rFonts w:ascii="Times New Roman" w:hAnsi="Times New Roman" w:cs="Times New Roman"/>
          <w:sz w:val="24"/>
          <w:szCs w:val="24"/>
          <w:lang w:val="en-US"/>
        </w:rPr>
        <w:t xml:space="preserve">he requirement of full jurisdiction </w:t>
      </w:r>
      <w:r w:rsidR="004C78DA">
        <w:rPr>
          <w:rFonts w:ascii="Times New Roman" w:hAnsi="Times New Roman" w:cs="Times New Roman"/>
          <w:sz w:val="24"/>
          <w:szCs w:val="24"/>
          <w:lang w:val="en-US"/>
        </w:rPr>
        <w:t xml:space="preserve">seems </w:t>
      </w:r>
      <w:r w:rsidR="006400BD">
        <w:rPr>
          <w:rFonts w:ascii="Times New Roman" w:hAnsi="Times New Roman" w:cs="Times New Roman"/>
          <w:sz w:val="24"/>
          <w:szCs w:val="24"/>
          <w:lang w:val="en-US"/>
        </w:rPr>
        <w:t xml:space="preserve">to </w:t>
      </w:r>
      <w:r w:rsidR="004C78DA">
        <w:rPr>
          <w:rFonts w:ascii="Times New Roman" w:hAnsi="Times New Roman" w:cs="Times New Roman"/>
          <w:sz w:val="24"/>
          <w:szCs w:val="24"/>
          <w:lang w:val="en-US"/>
        </w:rPr>
        <w:t xml:space="preserve">demand, </w:t>
      </w:r>
      <w:r w:rsidR="00B24689" w:rsidRPr="00735AC6">
        <w:rPr>
          <w:rFonts w:ascii="Times New Roman" w:hAnsi="Times New Roman" w:cs="Times New Roman"/>
          <w:sz w:val="24"/>
          <w:szCs w:val="24"/>
          <w:lang w:val="en-US"/>
        </w:rPr>
        <w:t>at least implicitly</w:t>
      </w:r>
      <w:r w:rsidR="004C78DA">
        <w:rPr>
          <w:rFonts w:ascii="Times New Roman" w:hAnsi="Times New Roman" w:cs="Times New Roman"/>
          <w:sz w:val="24"/>
          <w:szCs w:val="24"/>
          <w:lang w:val="en-US"/>
        </w:rPr>
        <w:t>,</w:t>
      </w:r>
      <w:r w:rsidR="00B24689" w:rsidRPr="00735AC6">
        <w:rPr>
          <w:rFonts w:ascii="Times New Roman" w:hAnsi="Times New Roman" w:cs="Times New Roman"/>
          <w:sz w:val="24"/>
          <w:szCs w:val="24"/>
          <w:lang w:val="en-US"/>
        </w:rPr>
        <w:t xml:space="preserve"> the power for the domestic court to </w:t>
      </w:r>
      <w:r w:rsidR="006400BD">
        <w:rPr>
          <w:rFonts w:ascii="Times New Roman" w:hAnsi="Times New Roman" w:cs="Times New Roman"/>
          <w:sz w:val="24"/>
          <w:szCs w:val="24"/>
          <w:lang w:val="en-US"/>
        </w:rPr>
        <w:t>consider</w:t>
      </w:r>
      <w:r w:rsidR="00B24689" w:rsidRPr="00735AC6">
        <w:rPr>
          <w:rFonts w:ascii="Times New Roman" w:hAnsi="Times New Roman" w:cs="Times New Roman"/>
          <w:sz w:val="24"/>
          <w:szCs w:val="24"/>
          <w:lang w:val="en-US"/>
        </w:rPr>
        <w:t xml:space="preserve"> the proportionality between the </w:t>
      </w:r>
      <w:r w:rsidR="001C0DD8" w:rsidRPr="00735AC6">
        <w:rPr>
          <w:rFonts w:ascii="Times New Roman" w:hAnsi="Times New Roman" w:cs="Times New Roman"/>
          <w:sz w:val="24"/>
          <w:szCs w:val="24"/>
          <w:lang w:val="en-US"/>
        </w:rPr>
        <w:t>individual’s misbehaviour</w:t>
      </w:r>
      <w:r w:rsidR="00990E5A" w:rsidRPr="00735AC6">
        <w:rPr>
          <w:rFonts w:ascii="Times New Roman" w:hAnsi="Times New Roman" w:cs="Times New Roman"/>
          <w:sz w:val="24"/>
          <w:szCs w:val="24"/>
          <w:lang w:val="en-US"/>
        </w:rPr>
        <w:t>, i.e. the facts,</w:t>
      </w:r>
      <w:r w:rsidR="00B24689" w:rsidRPr="00735AC6">
        <w:rPr>
          <w:rFonts w:ascii="Times New Roman" w:hAnsi="Times New Roman" w:cs="Times New Roman"/>
          <w:sz w:val="24"/>
          <w:szCs w:val="24"/>
          <w:lang w:val="en-US"/>
        </w:rPr>
        <w:t xml:space="preserve"> and the </w:t>
      </w:r>
      <w:r w:rsidR="001C0DD8" w:rsidRPr="00735AC6">
        <w:rPr>
          <w:rFonts w:ascii="Times New Roman" w:hAnsi="Times New Roman" w:cs="Times New Roman"/>
          <w:sz w:val="24"/>
          <w:szCs w:val="24"/>
          <w:lang w:val="en-US"/>
        </w:rPr>
        <w:t>measure</w:t>
      </w:r>
      <w:r w:rsidR="00B24689" w:rsidRPr="00735AC6">
        <w:rPr>
          <w:rFonts w:ascii="Times New Roman" w:hAnsi="Times New Roman" w:cs="Times New Roman"/>
          <w:sz w:val="24"/>
          <w:szCs w:val="24"/>
          <w:lang w:val="en-US"/>
        </w:rPr>
        <w:t xml:space="preserve"> imposed</w:t>
      </w:r>
      <w:r w:rsidR="001C0DD8" w:rsidRPr="00735AC6">
        <w:rPr>
          <w:rStyle w:val="Odwoanieprzypisudolnego"/>
          <w:rFonts w:ascii="Times New Roman" w:hAnsi="Times New Roman" w:cs="Times New Roman"/>
          <w:sz w:val="24"/>
          <w:szCs w:val="24"/>
          <w:lang w:val="en-US"/>
        </w:rPr>
        <w:footnoteReference w:id="69"/>
      </w:r>
      <w:r w:rsidR="001F200C">
        <w:rPr>
          <w:rFonts w:ascii="Times New Roman" w:hAnsi="Times New Roman" w:cs="Times New Roman"/>
          <w:sz w:val="24"/>
          <w:szCs w:val="24"/>
          <w:lang w:val="en-US"/>
        </w:rPr>
        <w:t>, thus implying a ‘means-facts’ test</w:t>
      </w:r>
      <w:r w:rsidR="00735AC6" w:rsidRPr="00735AC6">
        <w:rPr>
          <w:rFonts w:ascii="Times New Roman" w:hAnsi="Times New Roman" w:cs="Times New Roman"/>
          <w:sz w:val="24"/>
          <w:szCs w:val="24"/>
          <w:lang w:val="en-US"/>
        </w:rPr>
        <w:t>.</w:t>
      </w:r>
    </w:p>
    <w:p w14:paraId="71945DA6" w14:textId="77777777" w:rsidR="008D55F0" w:rsidRPr="00F72E3A" w:rsidRDefault="008D55F0" w:rsidP="008D55F0">
      <w:pPr>
        <w:autoSpaceDE w:val="0"/>
        <w:autoSpaceDN w:val="0"/>
        <w:adjustRightInd w:val="0"/>
        <w:spacing w:after="0"/>
        <w:jc w:val="both"/>
        <w:rPr>
          <w:rFonts w:ascii="Times New Roman" w:hAnsi="Times New Roman" w:cs="Times New Roman"/>
          <w:sz w:val="24"/>
          <w:szCs w:val="24"/>
          <w:lang w:val="en-CA"/>
        </w:rPr>
      </w:pPr>
    </w:p>
    <w:p w14:paraId="778CF4AD" w14:textId="1353B824" w:rsidR="008D55F0" w:rsidRDefault="004702EB" w:rsidP="008D55F0">
      <w:pPr>
        <w:autoSpaceDE w:val="0"/>
        <w:autoSpaceDN w:val="0"/>
        <w:adjustRightInd w:val="0"/>
        <w:spacing w:after="0"/>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The Strasbourg Court refers</w:t>
      </w:r>
      <w:r w:rsidR="00A776E1">
        <w:rPr>
          <w:rFonts w:ascii="Times New Roman" w:hAnsi="Times New Roman" w:cs="Times New Roman"/>
          <w:sz w:val="24"/>
          <w:szCs w:val="24"/>
          <w:lang w:val="en-US"/>
        </w:rPr>
        <w:t>, albeit implicitly,</w:t>
      </w:r>
      <w:r>
        <w:rPr>
          <w:rFonts w:ascii="Times New Roman" w:hAnsi="Times New Roman" w:cs="Times New Roman"/>
          <w:sz w:val="24"/>
          <w:szCs w:val="24"/>
          <w:lang w:val="en-US"/>
        </w:rPr>
        <w:t xml:space="preserve"> to this </w:t>
      </w:r>
      <w:r w:rsidR="00A776E1">
        <w:rPr>
          <w:rFonts w:ascii="Times New Roman" w:hAnsi="Times New Roman" w:cs="Times New Roman"/>
          <w:sz w:val="24"/>
          <w:szCs w:val="24"/>
          <w:lang w:val="en-US"/>
        </w:rPr>
        <w:t>‘means-facts’ test</w:t>
      </w:r>
      <w:r>
        <w:rPr>
          <w:rFonts w:ascii="Times New Roman" w:hAnsi="Times New Roman" w:cs="Times New Roman"/>
          <w:sz w:val="24"/>
          <w:szCs w:val="24"/>
          <w:lang w:val="en-US"/>
        </w:rPr>
        <w:t xml:space="preserve"> for both criminal and civil matters within the meaning of Article 6 ECHR</w:t>
      </w:r>
      <w:r>
        <w:rPr>
          <w:rStyle w:val="Odwoanieprzypisudolnego"/>
          <w:rFonts w:ascii="Times New Roman" w:hAnsi="Times New Roman" w:cs="Times New Roman"/>
          <w:sz w:val="24"/>
          <w:szCs w:val="24"/>
          <w:lang w:val="en-US"/>
        </w:rPr>
        <w:footnoteReference w:id="70"/>
      </w:r>
      <w:r>
        <w:rPr>
          <w:rFonts w:ascii="Times New Roman" w:hAnsi="Times New Roman" w:cs="Times New Roman"/>
          <w:sz w:val="24"/>
          <w:szCs w:val="24"/>
          <w:lang w:val="en-US"/>
        </w:rPr>
        <w:t xml:space="preserve">. </w:t>
      </w:r>
      <w:r w:rsidR="001C0DD8">
        <w:rPr>
          <w:rFonts w:ascii="Times New Roman" w:hAnsi="Times New Roman" w:cs="Times New Roman"/>
          <w:sz w:val="24"/>
          <w:szCs w:val="24"/>
          <w:lang w:val="en-US"/>
        </w:rPr>
        <w:t>Consequently,</w:t>
      </w:r>
      <w:r w:rsidR="001C0DD8" w:rsidRPr="001C0DD8">
        <w:rPr>
          <w:rFonts w:ascii="Times New Roman" w:hAnsi="Times New Roman" w:cs="Times New Roman"/>
          <w:sz w:val="24"/>
          <w:szCs w:val="24"/>
          <w:lang w:val="en-US"/>
        </w:rPr>
        <w:t xml:space="preserve"> </w:t>
      </w:r>
      <w:r w:rsidR="004C78DA">
        <w:rPr>
          <w:rFonts w:ascii="Times New Roman" w:hAnsi="Times New Roman" w:cs="Times New Roman"/>
          <w:sz w:val="24"/>
          <w:szCs w:val="24"/>
          <w:lang w:val="en-US"/>
        </w:rPr>
        <w:t xml:space="preserve">it is </w:t>
      </w:r>
      <w:r w:rsidR="006400BD">
        <w:rPr>
          <w:rFonts w:ascii="Times New Roman" w:hAnsi="Times New Roman" w:cs="Times New Roman"/>
          <w:sz w:val="24"/>
          <w:szCs w:val="24"/>
          <w:lang w:val="en-US"/>
        </w:rPr>
        <w:t xml:space="preserve">of great </w:t>
      </w:r>
      <w:r w:rsidR="004C78DA">
        <w:rPr>
          <w:rFonts w:ascii="Times New Roman" w:hAnsi="Times New Roman" w:cs="Times New Roman"/>
          <w:sz w:val="24"/>
          <w:szCs w:val="24"/>
          <w:lang w:val="en-US"/>
        </w:rPr>
        <w:t>importan</w:t>
      </w:r>
      <w:r w:rsidR="006400BD">
        <w:rPr>
          <w:rFonts w:ascii="Times New Roman" w:hAnsi="Times New Roman" w:cs="Times New Roman"/>
          <w:sz w:val="24"/>
          <w:szCs w:val="24"/>
          <w:lang w:val="en-US"/>
        </w:rPr>
        <w:t>ce</w:t>
      </w:r>
      <w:r w:rsidR="004C78DA">
        <w:rPr>
          <w:rFonts w:ascii="Times New Roman" w:hAnsi="Times New Roman" w:cs="Times New Roman"/>
          <w:sz w:val="24"/>
          <w:szCs w:val="24"/>
          <w:lang w:val="en-US"/>
        </w:rPr>
        <w:t xml:space="preserve"> for the national authorities to take into account the purpose of the </w:t>
      </w:r>
      <w:r w:rsidR="006400BD">
        <w:rPr>
          <w:rFonts w:ascii="Times New Roman" w:hAnsi="Times New Roman" w:cs="Times New Roman"/>
          <w:sz w:val="24"/>
          <w:szCs w:val="24"/>
          <w:lang w:val="en-US"/>
        </w:rPr>
        <w:t xml:space="preserve">imposed </w:t>
      </w:r>
      <w:r w:rsidR="00567DC5">
        <w:rPr>
          <w:rFonts w:ascii="Times New Roman" w:hAnsi="Times New Roman" w:cs="Times New Roman"/>
          <w:sz w:val="24"/>
          <w:szCs w:val="24"/>
          <w:lang w:val="en-US"/>
        </w:rPr>
        <w:t xml:space="preserve">area-based restriction </w:t>
      </w:r>
      <w:r w:rsidR="009E40D1">
        <w:rPr>
          <w:rFonts w:ascii="Times New Roman" w:hAnsi="Times New Roman" w:cs="Times New Roman"/>
          <w:sz w:val="24"/>
          <w:szCs w:val="24"/>
          <w:lang w:val="en-US"/>
        </w:rPr>
        <w:t>and to ascertain wheth</w:t>
      </w:r>
      <w:r w:rsidR="00567DC5">
        <w:rPr>
          <w:rFonts w:ascii="Times New Roman" w:hAnsi="Times New Roman" w:cs="Times New Roman"/>
          <w:sz w:val="24"/>
          <w:szCs w:val="24"/>
          <w:lang w:val="en-US"/>
        </w:rPr>
        <w:t xml:space="preserve">er or not it </w:t>
      </w:r>
      <w:r w:rsidR="009E40D1">
        <w:rPr>
          <w:rFonts w:ascii="Times New Roman" w:hAnsi="Times New Roman" w:cs="Times New Roman"/>
          <w:sz w:val="24"/>
          <w:szCs w:val="24"/>
          <w:lang w:val="en-US"/>
        </w:rPr>
        <w:t>is to be regarded as criminal or civil</w:t>
      </w:r>
      <w:r w:rsidR="009E40D1" w:rsidRPr="009E40D1">
        <w:rPr>
          <w:rFonts w:ascii="Times New Roman" w:hAnsi="Times New Roman" w:cs="Times New Roman"/>
          <w:sz w:val="24"/>
          <w:szCs w:val="24"/>
          <w:lang w:val="en-US"/>
        </w:rPr>
        <w:t xml:space="preserve"> </w:t>
      </w:r>
      <w:r w:rsidR="009E40D1">
        <w:rPr>
          <w:rFonts w:ascii="Times New Roman" w:hAnsi="Times New Roman" w:cs="Times New Roman"/>
          <w:sz w:val="24"/>
          <w:szCs w:val="24"/>
          <w:lang w:val="en-US"/>
        </w:rPr>
        <w:t>within the meaning of Article 6 ECHR</w:t>
      </w:r>
      <w:r w:rsidR="004C78DA">
        <w:rPr>
          <w:rFonts w:ascii="Times New Roman" w:hAnsi="Times New Roman" w:cs="Times New Roman"/>
          <w:sz w:val="24"/>
          <w:szCs w:val="24"/>
          <w:lang w:val="en-US"/>
        </w:rPr>
        <w:t xml:space="preserve">. </w:t>
      </w:r>
      <w:r w:rsidR="008D55F0">
        <w:rPr>
          <w:rFonts w:ascii="Times New Roman" w:hAnsi="Times New Roman" w:cs="Times New Roman"/>
          <w:sz w:val="24"/>
          <w:szCs w:val="24"/>
          <w:lang w:val="en-US"/>
        </w:rPr>
        <w:t xml:space="preserve">If </w:t>
      </w:r>
      <w:r w:rsidR="00B1671B">
        <w:rPr>
          <w:rFonts w:ascii="Times New Roman" w:hAnsi="Times New Roman" w:cs="Times New Roman"/>
          <w:sz w:val="24"/>
          <w:szCs w:val="24"/>
          <w:lang w:val="en-US"/>
        </w:rPr>
        <w:t xml:space="preserve">the </w:t>
      </w:r>
      <w:r w:rsidR="00567DC5">
        <w:rPr>
          <w:rFonts w:ascii="Times New Roman" w:hAnsi="Times New Roman" w:cs="Times New Roman"/>
          <w:sz w:val="24"/>
          <w:szCs w:val="24"/>
          <w:lang w:val="en-US"/>
        </w:rPr>
        <w:t>area-based restriction</w:t>
      </w:r>
      <w:r w:rsidR="00B1671B">
        <w:rPr>
          <w:rFonts w:ascii="Times New Roman" w:hAnsi="Times New Roman" w:cs="Times New Roman"/>
          <w:sz w:val="24"/>
          <w:szCs w:val="24"/>
          <w:lang w:val="en-US"/>
        </w:rPr>
        <w:t xml:space="preserve"> is to be considered as criminal or </w:t>
      </w:r>
      <w:r w:rsidR="00B1671B">
        <w:rPr>
          <w:rFonts w:ascii="Times New Roman" w:hAnsi="Times New Roman" w:cs="Times New Roman"/>
          <w:sz w:val="24"/>
          <w:szCs w:val="24"/>
          <w:lang w:val="en-US"/>
        </w:rPr>
        <w:lastRenderedPageBreak/>
        <w:t>civil</w:t>
      </w:r>
      <w:r w:rsidR="005B354C">
        <w:rPr>
          <w:rFonts w:ascii="Times New Roman" w:hAnsi="Times New Roman" w:cs="Times New Roman"/>
          <w:sz w:val="24"/>
          <w:szCs w:val="24"/>
          <w:lang w:val="en-US"/>
        </w:rPr>
        <w:t xml:space="preserve">, </w:t>
      </w:r>
      <w:r w:rsidR="005B354C">
        <w:rPr>
          <w:rFonts w:ascii="Times New Roman" w:hAnsi="Times New Roman" w:cs="Times New Roman"/>
          <w:sz w:val="24"/>
          <w:szCs w:val="24"/>
          <w:lang w:val="en-CA"/>
        </w:rPr>
        <w:t>the national authorit</w:t>
      </w:r>
      <w:r w:rsidR="008D55F0">
        <w:rPr>
          <w:rFonts w:ascii="Times New Roman" w:hAnsi="Times New Roman" w:cs="Times New Roman"/>
          <w:sz w:val="24"/>
          <w:szCs w:val="24"/>
          <w:lang w:val="en-CA"/>
        </w:rPr>
        <w:t>ies</w:t>
      </w:r>
      <w:r w:rsidR="005B354C">
        <w:rPr>
          <w:rFonts w:ascii="Times New Roman" w:hAnsi="Times New Roman" w:cs="Times New Roman"/>
          <w:sz w:val="24"/>
          <w:szCs w:val="24"/>
          <w:lang w:val="en-CA"/>
        </w:rPr>
        <w:t xml:space="preserve"> must take into account the requirements of this Article, which presumably imply </w:t>
      </w:r>
      <w:r w:rsidR="004B426D">
        <w:rPr>
          <w:rFonts w:ascii="Times New Roman" w:hAnsi="Times New Roman" w:cs="Times New Roman"/>
          <w:sz w:val="24"/>
          <w:szCs w:val="24"/>
          <w:lang w:val="en-CA"/>
        </w:rPr>
        <w:t xml:space="preserve">the </w:t>
      </w:r>
      <w:r w:rsidR="005B354C">
        <w:rPr>
          <w:rFonts w:ascii="Times New Roman" w:hAnsi="Times New Roman" w:cs="Times New Roman"/>
          <w:sz w:val="24"/>
          <w:szCs w:val="24"/>
          <w:lang w:val="en-CA"/>
        </w:rPr>
        <w:t>appl</w:t>
      </w:r>
      <w:r w:rsidR="004B426D">
        <w:rPr>
          <w:rFonts w:ascii="Times New Roman" w:hAnsi="Times New Roman" w:cs="Times New Roman"/>
          <w:sz w:val="24"/>
          <w:szCs w:val="24"/>
          <w:lang w:val="en-CA"/>
        </w:rPr>
        <w:t>ication of a ‘means-facts’ test</w:t>
      </w:r>
      <w:r w:rsidR="001F200C">
        <w:rPr>
          <w:rFonts w:ascii="Times New Roman" w:hAnsi="Times New Roman" w:cs="Times New Roman"/>
          <w:sz w:val="24"/>
          <w:szCs w:val="24"/>
          <w:lang w:val="en-CA"/>
        </w:rPr>
        <w:t>.</w:t>
      </w:r>
      <w:r w:rsidR="002228A2">
        <w:rPr>
          <w:rFonts w:ascii="Times New Roman" w:hAnsi="Times New Roman" w:cs="Times New Roman"/>
          <w:sz w:val="24"/>
          <w:szCs w:val="24"/>
          <w:lang w:val="en-CA"/>
        </w:rPr>
        <w:t xml:space="preserve"> </w:t>
      </w:r>
      <w:r w:rsidR="00921371">
        <w:rPr>
          <w:rFonts w:ascii="Times New Roman" w:hAnsi="Times New Roman" w:cs="Times New Roman"/>
          <w:sz w:val="24"/>
          <w:szCs w:val="24"/>
          <w:lang w:val="en-CA"/>
        </w:rPr>
        <w:t xml:space="preserve">However, </w:t>
      </w:r>
      <w:r w:rsidR="00921371" w:rsidRPr="00822181">
        <w:rPr>
          <w:rFonts w:ascii="Times New Roman" w:hAnsi="Times New Roman" w:cs="Times New Roman"/>
          <w:color w:val="000000"/>
          <w:sz w:val="24"/>
          <w:szCs w:val="24"/>
          <w:lang w:val="en-US"/>
        </w:rPr>
        <w:t xml:space="preserve">the </w:t>
      </w:r>
      <w:r w:rsidR="00921371">
        <w:rPr>
          <w:rFonts w:ascii="Times New Roman" w:hAnsi="Times New Roman" w:cs="Times New Roman"/>
          <w:color w:val="000000"/>
          <w:sz w:val="24"/>
          <w:szCs w:val="24"/>
          <w:lang w:val="en-US"/>
        </w:rPr>
        <w:t xml:space="preserve">Strasbourg Court’s case law </w:t>
      </w:r>
      <w:r w:rsidR="00921371" w:rsidRPr="00822181">
        <w:rPr>
          <w:rFonts w:ascii="Times New Roman" w:hAnsi="Times New Roman" w:cs="Times New Roman"/>
          <w:color w:val="000000"/>
          <w:sz w:val="24"/>
          <w:szCs w:val="24"/>
          <w:lang w:val="en-US"/>
        </w:rPr>
        <w:t xml:space="preserve">appears to be still </w:t>
      </w:r>
      <w:r w:rsidR="00921371" w:rsidRPr="00921371">
        <w:rPr>
          <w:rFonts w:ascii="Times New Roman" w:hAnsi="Times New Roman" w:cs="Times New Roman"/>
          <w:color w:val="000000"/>
          <w:sz w:val="24"/>
          <w:szCs w:val="24"/>
          <w:lang w:val="en-US"/>
        </w:rPr>
        <w:t xml:space="preserve">unclear on this point. It remains indistinct whether or not the national authorities must take into account the nature of the measure imposed in order to apply the ‘means-facts’ test or not </w:t>
      </w:r>
      <w:r w:rsidR="00921371" w:rsidRPr="00921371">
        <w:rPr>
          <w:rFonts w:ascii="Times New Roman" w:hAnsi="Times New Roman" w:cs="Times New Roman"/>
          <w:sz w:val="24"/>
          <w:szCs w:val="24"/>
          <w:lang w:val="en-CA"/>
        </w:rPr>
        <w:t>and whether this test is to be applied simultaneously with the ‘aims-means-consequences’ test.</w:t>
      </w:r>
      <w:r w:rsidR="00921371">
        <w:rPr>
          <w:rFonts w:ascii="Times New Roman" w:hAnsi="Times New Roman" w:cs="Times New Roman"/>
          <w:color w:val="000000"/>
          <w:sz w:val="24"/>
          <w:szCs w:val="24"/>
          <w:lang w:val="en-US"/>
        </w:rPr>
        <w:t xml:space="preserve"> </w:t>
      </w:r>
    </w:p>
    <w:p w14:paraId="50B51B8F" w14:textId="77777777" w:rsidR="00921371" w:rsidRDefault="00921371" w:rsidP="008D55F0">
      <w:pPr>
        <w:autoSpaceDE w:val="0"/>
        <w:autoSpaceDN w:val="0"/>
        <w:adjustRightInd w:val="0"/>
        <w:spacing w:after="0"/>
        <w:jc w:val="both"/>
        <w:rPr>
          <w:rFonts w:ascii="Times New Roman" w:hAnsi="Times New Roman" w:cs="Times New Roman"/>
          <w:color w:val="000000"/>
          <w:sz w:val="24"/>
          <w:szCs w:val="24"/>
          <w:lang w:val="en-US"/>
        </w:rPr>
      </w:pPr>
    </w:p>
    <w:p w14:paraId="4EEF2B65" w14:textId="3E153A72" w:rsidR="00921371" w:rsidRDefault="00921371" w:rsidP="008D55F0">
      <w:pPr>
        <w:autoSpaceDE w:val="0"/>
        <w:autoSpaceDN w:val="0"/>
        <w:adjustRightInd w:val="0"/>
        <w:spacing w:after="0"/>
        <w:jc w:val="both"/>
        <w:rPr>
          <w:rFonts w:ascii="Times New Roman" w:hAnsi="Times New Roman" w:cs="Times New Roman"/>
          <w:sz w:val="24"/>
          <w:szCs w:val="24"/>
          <w:lang w:val="en-CA"/>
        </w:rPr>
      </w:pPr>
      <w:r>
        <w:rPr>
          <w:rFonts w:ascii="Times New Roman" w:hAnsi="Times New Roman" w:cs="Times New Roman"/>
          <w:color w:val="000000"/>
          <w:sz w:val="24"/>
          <w:szCs w:val="24"/>
          <w:lang w:val="en-US"/>
        </w:rPr>
        <w:t>We turn now to the proportionality principle in the Belgian Council of State’s case law</w:t>
      </w:r>
      <w:r w:rsidR="001859B3">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in an attempt to find </w:t>
      </w:r>
      <w:r w:rsidR="00F71322">
        <w:rPr>
          <w:rFonts w:ascii="Times New Roman" w:hAnsi="Times New Roman" w:cs="Times New Roman"/>
          <w:color w:val="000000"/>
          <w:sz w:val="24"/>
          <w:szCs w:val="24"/>
          <w:lang w:val="en-US"/>
        </w:rPr>
        <w:t xml:space="preserve">leads </w:t>
      </w:r>
      <w:r>
        <w:rPr>
          <w:rFonts w:ascii="Times New Roman" w:hAnsi="Times New Roman" w:cs="Times New Roman"/>
          <w:color w:val="000000"/>
          <w:sz w:val="24"/>
          <w:szCs w:val="24"/>
          <w:lang w:val="en-US"/>
        </w:rPr>
        <w:t xml:space="preserve">for </w:t>
      </w:r>
      <w:r w:rsidR="00685C24">
        <w:rPr>
          <w:rFonts w:ascii="Times New Roman" w:hAnsi="Times New Roman" w:cs="Times New Roman"/>
          <w:color w:val="000000"/>
          <w:sz w:val="24"/>
          <w:szCs w:val="24"/>
          <w:lang w:val="en-US"/>
        </w:rPr>
        <w:t xml:space="preserve">tackling </w:t>
      </w:r>
      <w:r>
        <w:rPr>
          <w:rFonts w:ascii="Times New Roman" w:hAnsi="Times New Roman" w:cs="Times New Roman"/>
          <w:color w:val="000000"/>
          <w:sz w:val="24"/>
          <w:szCs w:val="24"/>
          <w:lang w:val="en-US"/>
        </w:rPr>
        <w:t xml:space="preserve">the above </w:t>
      </w:r>
      <w:r w:rsidR="00F71322">
        <w:rPr>
          <w:rFonts w:ascii="Times New Roman" w:hAnsi="Times New Roman" w:cs="Times New Roman"/>
          <w:color w:val="000000"/>
          <w:sz w:val="24"/>
          <w:szCs w:val="24"/>
          <w:lang w:val="en-US"/>
        </w:rPr>
        <w:t>lack of clarity</w:t>
      </w:r>
      <w:r>
        <w:rPr>
          <w:rFonts w:ascii="Times New Roman" w:hAnsi="Times New Roman" w:cs="Times New Roman"/>
          <w:color w:val="000000"/>
          <w:sz w:val="24"/>
          <w:szCs w:val="24"/>
          <w:lang w:val="en-US"/>
        </w:rPr>
        <w:t xml:space="preserve"> at the European human rights level.</w:t>
      </w:r>
    </w:p>
    <w:p w14:paraId="562E085B" w14:textId="77777777" w:rsidR="001F200C" w:rsidRPr="00F72E3A" w:rsidRDefault="001F200C" w:rsidP="00B1671B">
      <w:pPr>
        <w:autoSpaceDE w:val="0"/>
        <w:autoSpaceDN w:val="0"/>
        <w:adjustRightInd w:val="0"/>
        <w:spacing w:after="0"/>
        <w:jc w:val="both"/>
        <w:rPr>
          <w:rFonts w:ascii="Times New Roman" w:hAnsi="Times New Roman" w:cs="Times New Roman"/>
          <w:sz w:val="24"/>
          <w:szCs w:val="24"/>
          <w:lang w:val="en-CA"/>
        </w:rPr>
      </w:pPr>
    </w:p>
    <w:p w14:paraId="1841E48E" w14:textId="77777777" w:rsidR="00027CBE" w:rsidRPr="00A85930" w:rsidRDefault="00027CBE" w:rsidP="00B1671B">
      <w:pPr>
        <w:autoSpaceDE w:val="0"/>
        <w:autoSpaceDN w:val="0"/>
        <w:adjustRightInd w:val="0"/>
        <w:spacing w:after="0"/>
        <w:jc w:val="both"/>
        <w:rPr>
          <w:rFonts w:ascii="Times New Roman" w:hAnsi="Times New Roman" w:cs="Times New Roman"/>
          <w:sz w:val="24"/>
          <w:szCs w:val="24"/>
          <w:lang w:val="en-US"/>
        </w:rPr>
      </w:pPr>
    </w:p>
    <w:p w14:paraId="549A292B" w14:textId="77777777" w:rsidR="005B39BB" w:rsidRDefault="00411BA9" w:rsidP="00D8481D">
      <w:pPr>
        <w:pStyle w:val="Nagwek2"/>
        <w:rPr>
          <w:lang w:val="en-US"/>
        </w:rPr>
      </w:pPr>
      <w:bookmarkStart w:id="8" w:name="_Toc453965899"/>
      <w:bookmarkStart w:id="9" w:name="_Toc462591611"/>
      <w:r>
        <w:rPr>
          <w:lang w:val="en-US"/>
        </w:rPr>
        <w:t xml:space="preserve">THE PROPORTIONALITY PRINCIPLE IN </w:t>
      </w:r>
      <w:r w:rsidR="005B39BB" w:rsidRPr="0080411E">
        <w:rPr>
          <w:lang w:val="en-US"/>
        </w:rPr>
        <w:t>THE BELGIAN COUNCIL OF STATE</w:t>
      </w:r>
      <w:bookmarkEnd w:id="8"/>
      <w:r>
        <w:rPr>
          <w:lang w:val="en-US"/>
        </w:rPr>
        <w:t>’S CASE LAW</w:t>
      </w:r>
      <w:bookmarkEnd w:id="9"/>
    </w:p>
    <w:p w14:paraId="392A2F69" w14:textId="77777777" w:rsidR="00CB21A9" w:rsidRPr="00CB21A9" w:rsidRDefault="00CB21A9" w:rsidP="00CB21A9">
      <w:pPr>
        <w:rPr>
          <w:lang w:val="en-US"/>
        </w:rPr>
      </w:pPr>
    </w:p>
    <w:p w14:paraId="2269B25A" w14:textId="6B049F10" w:rsidR="00E54E34" w:rsidRPr="00B41F9F" w:rsidRDefault="00AC154F" w:rsidP="00E54E34">
      <w:p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E22EA7">
        <w:rPr>
          <w:rFonts w:ascii="Times New Roman" w:hAnsi="Times New Roman" w:cs="Times New Roman"/>
          <w:sz w:val="24"/>
          <w:szCs w:val="24"/>
          <w:lang w:val="en-US"/>
        </w:rPr>
        <w:t xml:space="preserve">o </w:t>
      </w:r>
      <w:r w:rsidR="009A0A9D">
        <w:rPr>
          <w:rFonts w:ascii="Times New Roman" w:hAnsi="Times New Roman" w:cs="Times New Roman"/>
          <w:sz w:val="24"/>
          <w:szCs w:val="24"/>
          <w:lang w:val="en-US"/>
        </w:rPr>
        <w:t xml:space="preserve">be in accordance with </w:t>
      </w:r>
      <w:r w:rsidR="00571696">
        <w:rPr>
          <w:rFonts w:ascii="Times New Roman" w:hAnsi="Times New Roman" w:cs="Times New Roman"/>
          <w:sz w:val="24"/>
          <w:szCs w:val="24"/>
          <w:lang w:val="en-US"/>
        </w:rPr>
        <w:t>Article</w:t>
      </w:r>
      <w:r w:rsidR="009A0A9D">
        <w:rPr>
          <w:rFonts w:ascii="Times New Roman" w:hAnsi="Times New Roman" w:cs="Times New Roman"/>
          <w:sz w:val="24"/>
          <w:szCs w:val="24"/>
          <w:lang w:val="en-US"/>
        </w:rPr>
        <w:t xml:space="preserve"> </w:t>
      </w:r>
      <w:r w:rsidR="00A6625D">
        <w:rPr>
          <w:rFonts w:ascii="Times New Roman" w:hAnsi="Times New Roman" w:cs="Times New Roman"/>
          <w:sz w:val="24"/>
          <w:szCs w:val="24"/>
          <w:lang w:val="en-US"/>
        </w:rPr>
        <w:t>2 FAP</w:t>
      </w:r>
      <w:r w:rsidR="00242B3D">
        <w:rPr>
          <w:rFonts w:ascii="Times New Roman" w:hAnsi="Times New Roman" w:cs="Times New Roman"/>
          <w:sz w:val="24"/>
          <w:szCs w:val="24"/>
          <w:lang w:val="en-US"/>
        </w:rPr>
        <w:t>,</w:t>
      </w:r>
      <w:r w:rsidR="00E22EA7">
        <w:rPr>
          <w:rFonts w:ascii="Times New Roman" w:hAnsi="Times New Roman" w:cs="Times New Roman"/>
          <w:sz w:val="24"/>
          <w:szCs w:val="24"/>
          <w:lang w:val="en-US"/>
        </w:rPr>
        <w:t xml:space="preserve"> </w:t>
      </w:r>
      <w:r w:rsidR="008B172B">
        <w:rPr>
          <w:rFonts w:ascii="Times New Roman" w:hAnsi="Times New Roman" w:cs="Times New Roman"/>
          <w:sz w:val="24"/>
          <w:szCs w:val="24"/>
          <w:lang w:val="en-US"/>
        </w:rPr>
        <w:t xml:space="preserve">the temporary prohibition of place must </w:t>
      </w:r>
      <w:r w:rsidR="00E22EA7">
        <w:rPr>
          <w:rFonts w:ascii="Times New Roman" w:hAnsi="Times New Roman" w:cs="Times New Roman"/>
          <w:sz w:val="24"/>
          <w:szCs w:val="24"/>
          <w:lang w:val="en-US"/>
        </w:rPr>
        <w:t xml:space="preserve">be </w:t>
      </w:r>
      <w:r w:rsidR="00E22EA7" w:rsidRPr="0051666C">
        <w:rPr>
          <w:rFonts w:ascii="Times New Roman" w:hAnsi="Times New Roman" w:cs="Times New Roman"/>
          <w:i/>
          <w:sz w:val="24"/>
          <w:szCs w:val="24"/>
          <w:lang w:val="en-US"/>
        </w:rPr>
        <w:t>proportiona</w:t>
      </w:r>
      <w:r w:rsidRPr="0051666C">
        <w:rPr>
          <w:rFonts w:ascii="Times New Roman" w:hAnsi="Times New Roman" w:cs="Times New Roman"/>
          <w:i/>
          <w:sz w:val="24"/>
          <w:szCs w:val="24"/>
          <w:lang w:val="en-US"/>
        </w:rPr>
        <w:t>te</w:t>
      </w:r>
      <w:r w:rsidR="001D23A6">
        <w:rPr>
          <w:rFonts w:ascii="Times New Roman" w:hAnsi="Times New Roman" w:cs="Times New Roman"/>
          <w:sz w:val="24"/>
          <w:szCs w:val="24"/>
          <w:lang w:val="en-US"/>
        </w:rPr>
        <w:t xml:space="preserve">, </w:t>
      </w:r>
      <w:r w:rsidR="008B172B">
        <w:rPr>
          <w:rFonts w:ascii="Times New Roman" w:hAnsi="Times New Roman" w:cs="Times New Roman"/>
          <w:sz w:val="24"/>
          <w:szCs w:val="24"/>
          <w:lang w:val="en-US"/>
        </w:rPr>
        <w:t xml:space="preserve">as </w:t>
      </w:r>
      <w:r w:rsidR="0051666C">
        <w:rPr>
          <w:rFonts w:ascii="Times New Roman" w:hAnsi="Times New Roman" w:cs="Times New Roman"/>
          <w:sz w:val="24"/>
          <w:szCs w:val="24"/>
          <w:lang w:val="en-US"/>
        </w:rPr>
        <w:t>discussed above</w:t>
      </w:r>
      <w:r w:rsidR="00E22EA7">
        <w:rPr>
          <w:rFonts w:ascii="Times New Roman" w:hAnsi="Times New Roman" w:cs="Times New Roman"/>
          <w:sz w:val="24"/>
          <w:szCs w:val="24"/>
          <w:lang w:val="en-US"/>
        </w:rPr>
        <w:t>.</w:t>
      </w:r>
      <w:r w:rsidR="00833B96">
        <w:rPr>
          <w:rFonts w:ascii="Times New Roman" w:hAnsi="Times New Roman" w:cs="Times New Roman"/>
          <w:sz w:val="24"/>
          <w:szCs w:val="24"/>
          <w:lang w:val="en-US"/>
        </w:rPr>
        <w:t xml:space="preserve"> </w:t>
      </w:r>
      <w:r w:rsidR="007A4095">
        <w:rPr>
          <w:rFonts w:ascii="Times New Roman" w:hAnsi="Times New Roman" w:cs="Times New Roman"/>
          <w:sz w:val="24"/>
          <w:szCs w:val="24"/>
          <w:lang w:val="en-US"/>
        </w:rPr>
        <w:t>Although this</w:t>
      </w:r>
      <w:r w:rsidR="00E22EA7">
        <w:rPr>
          <w:rFonts w:ascii="Times New Roman" w:hAnsi="Times New Roman" w:cs="Times New Roman"/>
          <w:sz w:val="24"/>
          <w:szCs w:val="24"/>
          <w:lang w:val="en-US"/>
        </w:rPr>
        <w:t xml:space="preserve"> is</w:t>
      </w:r>
      <w:r w:rsidR="009A0A9D">
        <w:rPr>
          <w:rFonts w:ascii="Times New Roman" w:hAnsi="Times New Roman" w:cs="Times New Roman"/>
          <w:sz w:val="24"/>
          <w:szCs w:val="24"/>
          <w:lang w:val="en-US"/>
        </w:rPr>
        <w:t xml:space="preserve"> not expressly required by </w:t>
      </w:r>
      <w:r w:rsidR="00571696">
        <w:rPr>
          <w:rFonts w:ascii="Times New Roman" w:hAnsi="Times New Roman" w:cs="Times New Roman"/>
          <w:sz w:val="24"/>
          <w:szCs w:val="24"/>
          <w:lang w:val="en-US"/>
        </w:rPr>
        <w:t>Article</w:t>
      </w:r>
      <w:r w:rsidR="009A0A9D">
        <w:rPr>
          <w:rFonts w:ascii="Times New Roman" w:hAnsi="Times New Roman" w:cs="Times New Roman"/>
          <w:sz w:val="24"/>
          <w:szCs w:val="24"/>
          <w:lang w:val="en-US"/>
        </w:rPr>
        <w:t xml:space="preserve"> </w:t>
      </w:r>
      <w:r w:rsidR="00E22EA7">
        <w:rPr>
          <w:rFonts w:ascii="Times New Roman" w:hAnsi="Times New Roman" w:cs="Times New Roman"/>
          <w:sz w:val="24"/>
          <w:szCs w:val="24"/>
          <w:lang w:val="en-US"/>
        </w:rPr>
        <w:t>134</w:t>
      </w:r>
      <w:r w:rsidR="00E22EA7" w:rsidRPr="009A0A9D">
        <w:rPr>
          <w:rFonts w:ascii="Times New Roman" w:hAnsi="Times New Roman" w:cs="Times New Roman"/>
          <w:i/>
          <w:sz w:val="24"/>
          <w:szCs w:val="24"/>
          <w:lang w:val="en-US"/>
        </w:rPr>
        <w:t>sexies</w:t>
      </w:r>
      <w:r w:rsidR="00E22EA7">
        <w:rPr>
          <w:rFonts w:ascii="Times New Roman" w:hAnsi="Times New Roman" w:cs="Times New Roman"/>
          <w:sz w:val="24"/>
          <w:szCs w:val="24"/>
          <w:lang w:val="en-US"/>
        </w:rPr>
        <w:t xml:space="preserve"> </w:t>
      </w:r>
      <w:r w:rsidR="00AC1E35" w:rsidRPr="008B172B">
        <w:rPr>
          <w:rFonts w:ascii="Times New Roman" w:hAnsi="Times New Roman" w:cs="Times New Roman"/>
          <w:sz w:val="24"/>
          <w:szCs w:val="24"/>
          <w:lang w:val="en-US"/>
        </w:rPr>
        <w:t>NMA</w:t>
      </w:r>
      <w:r w:rsidR="007A4095">
        <w:rPr>
          <w:rFonts w:ascii="Times New Roman" w:hAnsi="Times New Roman" w:cs="Times New Roman"/>
          <w:sz w:val="24"/>
          <w:szCs w:val="24"/>
          <w:lang w:val="en-US"/>
        </w:rPr>
        <w:t>, it</w:t>
      </w:r>
      <w:r w:rsidR="008B172B" w:rsidRPr="008B172B">
        <w:rPr>
          <w:rFonts w:ascii="Times New Roman" w:hAnsi="Times New Roman" w:cs="Times New Roman"/>
          <w:sz w:val="24"/>
          <w:szCs w:val="24"/>
          <w:lang w:val="en-US"/>
        </w:rPr>
        <w:t xml:space="preserve"> also stems from the </w:t>
      </w:r>
      <w:r w:rsidR="008B172B">
        <w:rPr>
          <w:rFonts w:ascii="Times New Roman" w:hAnsi="Times New Roman" w:cs="Times New Roman"/>
          <w:sz w:val="24"/>
          <w:szCs w:val="24"/>
          <w:lang w:val="en-US"/>
        </w:rPr>
        <w:t>proportionality</w:t>
      </w:r>
      <w:r w:rsidR="008B172B" w:rsidRPr="008B172B">
        <w:rPr>
          <w:rFonts w:ascii="Times New Roman" w:hAnsi="Times New Roman" w:cs="Times New Roman"/>
          <w:sz w:val="24"/>
          <w:szCs w:val="24"/>
          <w:lang w:val="en-US"/>
        </w:rPr>
        <w:t xml:space="preserve"> principle </w:t>
      </w:r>
      <w:r w:rsidR="008B172B">
        <w:rPr>
          <w:rFonts w:ascii="Times New Roman" w:hAnsi="Times New Roman" w:cs="Times New Roman"/>
          <w:sz w:val="24"/>
          <w:szCs w:val="24"/>
          <w:lang w:val="en-US"/>
        </w:rPr>
        <w:t>as a</w:t>
      </w:r>
      <w:r w:rsidR="001B35FC" w:rsidRPr="008B172B">
        <w:rPr>
          <w:rFonts w:ascii="Times New Roman" w:hAnsi="Times New Roman" w:cs="Times New Roman"/>
          <w:sz w:val="24"/>
          <w:szCs w:val="24"/>
          <w:lang w:val="en-US"/>
        </w:rPr>
        <w:t xml:space="preserve"> part of the </w:t>
      </w:r>
      <w:r w:rsidR="008B172B">
        <w:rPr>
          <w:rFonts w:ascii="Times New Roman" w:hAnsi="Times New Roman" w:cs="Times New Roman"/>
          <w:sz w:val="24"/>
          <w:szCs w:val="24"/>
          <w:lang w:val="en-US"/>
        </w:rPr>
        <w:t xml:space="preserve">Belgian </w:t>
      </w:r>
      <w:r w:rsidR="001B35FC" w:rsidRPr="008B172B">
        <w:rPr>
          <w:rFonts w:ascii="Times New Roman" w:hAnsi="Times New Roman" w:cs="Times New Roman"/>
          <w:sz w:val="24"/>
          <w:szCs w:val="24"/>
          <w:lang w:val="en-US"/>
        </w:rPr>
        <w:t xml:space="preserve">unwritten general </w:t>
      </w:r>
      <w:r w:rsidR="008B172B">
        <w:rPr>
          <w:rFonts w:ascii="Times New Roman" w:hAnsi="Times New Roman" w:cs="Times New Roman"/>
          <w:sz w:val="24"/>
          <w:szCs w:val="24"/>
          <w:lang w:val="en-US"/>
        </w:rPr>
        <w:t>‘</w:t>
      </w:r>
      <w:r w:rsidR="001B35FC" w:rsidRPr="008B172B">
        <w:rPr>
          <w:rFonts w:ascii="Times New Roman" w:hAnsi="Times New Roman" w:cs="Times New Roman"/>
          <w:sz w:val="24"/>
          <w:szCs w:val="24"/>
          <w:lang w:val="en-US"/>
        </w:rPr>
        <w:t>principles of good administration</w:t>
      </w:r>
      <w:r w:rsidR="008B172B">
        <w:rPr>
          <w:rFonts w:ascii="Times New Roman" w:hAnsi="Times New Roman" w:cs="Times New Roman"/>
          <w:sz w:val="24"/>
          <w:szCs w:val="24"/>
          <w:lang w:val="en-US"/>
        </w:rPr>
        <w:t>’, which t</w:t>
      </w:r>
      <w:r w:rsidR="008B172B" w:rsidRPr="008B172B">
        <w:rPr>
          <w:rFonts w:ascii="Times New Roman" w:hAnsi="Times New Roman" w:cs="Times New Roman"/>
          <w:sz w:val="24"/>
          <w:szCs w:val="24"/>
          <w:lang w:val="en-US"/>
        </w:rPr>
        <w:t>h</w:t>
      </w:r>
      <w:r w:rsidR="001B35FC" w:rsidRPr="008B172B">
        <w:rPr>
          <w:rFonts w:ascii="Times New Roman" w:hAnsi="Times New Roman" w:cs="Times New Roman"/>
          <w:sz w:val="24"/>
          <w:szCs w:val="24"/>
          <w:lang w:val="en-US"/>
        </w:rPr>
        <w:t>e executive must take into account</w:t>
      </w:r>
      <w:r w:rsidR="00B41F9F" w:rsidRPr="008B172B">
        <w:rPr>
          <w:rFonts w:ascii="Times New Roman" w:hAnsi="Times New Roman" w:cs="Times New Roman"/>
          <w:sz w:val="24"/>
          <w:szCs w:val="24"/>
          <w:lang w:val="en-US"/>
        </w:rPr>
        <w:t>.</w:t>
      </w:r>
      <w:r w:rsidR="00B41F9F">
        <w:rPr>
          <w:rFonts w:ascii="Times New Roman" w:hAnsi="Times New Roman" w:cs="Times New Roman"/>
          <w:sz w:val="24"/>
          <w:szCs w:val="24"/>
          <w:lang w:val="en-US"/>
        </w:rPr>
        <w:t xml:space="preserve"> </w:t>
      </w:r>
      <w:r w:rsidR="007A4095">
        <w:rPr>
          <w:rFonts w:ascii="Times New Roman" w:hAnsi="Times New Roman" w:cs="Times New Roman"/>
          <w:sz w:val="24"/>
          <w:szCs w:val="24"/>
          <w:lang w:val="en-US"/>
        </w:rPr>
        <w:t>T</w:t>
      </w:r>
      <w:r w:rsidR="0061065B">
        <w:rPr>
          <w:rFonts w:ascii="Times New Roman" w:hAnsi="Times New Roman" w:cs="Times New Roman"/>
          <w:sz w:val="24"/>
          <w:szCs w:val="24"/>
          <w:lang w:val="en-US"/>
        </w:rPr>
        <w:t>here is no relevant case law with regard to the temporary prohibition of place yet</w:t>
      </w:r>
      <w:r w:rsidR="007A4095">
        <w:rPr>
          <w:rFonts w:ascii="Times New Roman" w:hAnsi="Times New Roman" w:cs="Times New Roman"/>
          <w:sz w:val="24"/>
          <w:szCs w:val="24"/>
          <w:lang w:val="en-US"/>
        </w:rPr>
        <w:t>. However</w:t>
      </w:r>
      <w:r w:rsidR="0061065B">
        <w:rPr>
          <w:rFonts w:ascii="Times New Roman" w:hAnsi="Times New Roman" w:cs="Times New Roman"/>
          <w:sz w:val="24"/>
          <w:szCs w:val="24"/>
          <w:lang w:val="en-US"/>
        </w:rPr>
        <w:t xml:space="preserve">, it can be derived from the </w:t>
      </w:r>
      <w:r w:rsidR="007A4095">
        <w:rPr>
          <w:rFonts w:ascii="Times New Roman" w:hAnsi="Times New Roman" w:cs="Times New Roman"/>
          <w:sz w:val="24"/>
          <w:szCs w:val="24"/>
          <w:lang w:val="en-US"/>
        </w:rPr>
        <w:t xml:space="preserve">Council of State’s </w:t>
      </w:r>
      <w:r w:rsidR="00B85292">
        <w:rPr>
          <w:rFonts w:ascii="Times New Roman" w:hAnsi="Times New Roman" w:cs="Times New Roman"/>
          <w:sz w:val="24"/>
          <w:szCs w:val="24"/>
          <w:lang w:val="en-US"/>
        </w:rPr>
        <w:t>established</w:t>
      </w:r>
      <w:r w:rsidR="007A4095">
        <w:rPr>
          <w:rFonts w:ascii="Times New Roman" w:hAnsi="Times New Roman" w:cs="Times New Roman"/>
          <w:sz w:val="24"/>
          <w:szCs w:val="24"/>
          <w:lang w:val="en-US"/>
        </w:rPr>
        <w:t xml:space="preserve"> </w:t>
      </w:r>
      <w:r w:rsidR="0061065B">
        <w:rPr>
          <w:rFonts w:ascii="Times New Roman" w:hAnsi="Times New Roman" w:cs="Times New Roman"/>
          <w:sz w:val="24"/>
          <w:szCs w:val="24"/>
          <w:lang w:val="en-US"/>
        </w:rPr>
        <w:t xml:space="preserve">case law </w:t>
      </w:r>
      <w:r w:rsidR="007A4095">
        <w:rPr>
          <w:rFonts w:ascii="Times New Roman" w:hAnsi="Times New Roman" w:cs="Times New Roman"/>
          <w:sz w:val="24"/>
          <w:szCs w:val="24"/>
          <w:lang w:val="en-US"/>
        </w:rPr>
        <w:t>concerning</w:t>
      </w:r>
      <w:r w:rsidR="0061065B">
        <w:rPr>
          <w:rFonts w:ascii="Times New Roman" w:hAnsi="Times New Roman" w:cs="Times New Roman"/>
          <w:sz w:val="24"/>
          <w:szCs w:val="24"/>
          <w:lang w:val="en-US"/>
        </w:rPr>
        <w:t xml:space="preserve"> public order </w:t>
      </w:r>
      <w:r w:rsidR="007A4095">
        <w:rPr>
          <w:rFonts w:ascii="Times New Roman" w:hAnsi="Times New Roman" w:cs="Times New Roman"/>
          <w:sz w:val="24"/>
          <w:szCs w:val="24"/>
          <w:lang w:val="en-US"/>
        </w:rPr>
        <w:t>powers</w:t>
      </w:r>
      <w:r w:rsidR="0061065B">
        <w:rPr>
          <w:rFonts w:ascii="Times New Roman" w:hAnsi="Times New Roman" w:cs="Times New Roman"/>
          <w:sz w:val="24"/>
          <w:szCs w:val="24"/>
          <w:lang w:val="en-US"/>
        </w:rPr>
        <w:t xml:space="preserve"> that</w:t>
      </w:r>
      <w:r w:rsidR="00E54E34">
        <w:rPr>
          <w:rFonts w:ascii="Times New Roman" w:hAnsi="Times New Roman" w:cs="Times New Roman"/>
          <w:sz w:val="24"/>
          <w:szCs w:val="24"/>
          <w:lang w:val="en-CA"/>
        </w:rPr>
        <w:t xml:space="preserve"> the </w:t>
      </w:r>
      <w:r w:rsidR="007A4095">
        <w:rPr>
          <w:rFonts w:ascii="Times New Roman" w:hAnsi="Times New Roman" w:cs="Times New Roman"/>
          <w:sz w:val="24"/>
          <w:szCs w:val="24"/>
          <w:lang w:val="en-CA"/>
        </w:rPr>
        <w:t>proportionality principle</w:t>
      </w:r>
      <w:r w:rsidR="00E54E34">
        <w:rPr>
          <w:rFonts w:ascii="Times New Roman" w:hAnsi="Times New Roman" w:cs="Times New Roman"/>
          <w:sz w:val="24"/>
          <w:szCs w:val="24"/>
          <w:lang w:val="en-CA"/>
        </w:rPr>
        <w:t xml:space="preserve"> </w:t>
      </w:r>
      <w:r w:rsidR="00B41F9F">
        <w:rPr>
          <w:rFonts w:ascii="Times New Roman" w:hAnsi="Times New Roman" w:cs="Times New Roman"/>
          <w:sz w:val="24"/>
          <w:szCs w:val="24"/>
          <w:lang w:val="en-CA"/>
        </w:rPr>
        <w:t xml:space="preserve">must be assessed </w:t>
      </w:r>
      <w:r w:rsidR="00E54E34">
        <w:rPr>
          <w:rFonts w:ascii="Times New Roman" w:hAnsi="Times New Roman" w:cs="Times New Roman"/>
          <w:sz w:val="24"/>
          <w:szCs w:val="24"/>
          <w:lang w:val="en-CA"/>
        </w:rPr>
        <w:t>in a different way</w:t>
      </w:r>
      <w:r w:rsidR="007A4095">
        <w:rPr>
          <w:rFonts w:ascii="Times New Roman" w:hAnsi="Times New Roman" w:cs="Times New Roman"/>
          <w:sz w:val="24"/>
          <w:szCs w:val="24"/>
          <w:lang w:val="en-CA"/>
        </w:rPr>
        <w:t>,</w:t>
      </w:r>
      <w:r w:rsidR="00E54E34">
        <w:rPr>
          <w:rFonts w:ascii="Times New Roman" w:hAnsi="Times New Roman" w:cs="Times New Roman"/>
          <w:sz w:val="24"/>
          <w:szCs w:val="24"/>
          <w:lang w:val="en-CA"/>
        </w:rPr>
        <w:t xml:space="preserve"> depending on the legal </w:t>
      </w:r>
      <w:r w:rsidR="001E38DF">
        <w:rPr>
          <w:rFonts w:ascii="Times New Roman" w:hAnsi="Times New Roman" w:cs="Times New Roman"/>
          <w:sz w:val="24"/>
          <w:szCs w:val="24"/>
          <w:lang w:val="en-CA"/>
        </w:rPr>
        <w:t>classification</w:t>
      </w:r>
      <w:r w:rsidR="00E54E34">
        <w:rPr>
          <w:rFonts w:ascii="Times New Roman" w:hAnsi="Times New Roman" w:cs="Times New Roman"/>
          <w:sz w:val="24"/>
          <w:szCs w:val="24"/>
          <w:lang w:val="en-CA"/>
        </w:rPr>
        <w:t xml:space="preserve"> of the </w:t>
      </w:r>
      <w:r w:rsidR="007A4095">
        <w:rPr>
          <w:rFonts w:ascii="Times New Roman" w:hAnsi="Times New Roman" w:cs="Times New Roman"/>
          <w:sz w:val="24"/>
          <w:szCs w:val="24"/>
          <w:lang w:val="en-CA"/>
        </w:rPr>
        <w:t>measure imposed</w:t>
      </w:r>
      <w:r w:rsidR="00E54E34">
        <w:rPr>
          <w:rFonts w:ascii="Times New Roman" w:hAnsi="Times New Roman" w:cs="Times New Roman"/>
          <w:sz w:val="24"/>
          <w:szCs w:val="24"/>
          <w:lang w:val="en-CA"/>
        </w:rPr>
        <w:t>.</w:t>
      </w:r>
      <w:r w:rsidR="00833B96">
        <w:rPr>
          <w:rFonts w:ascii="Times New Roman" w:hAnsi="Times New Roman" w:cs="Times New Roman"/>
          <w:sz w:val="24"/>
          <w:szCs w:val="24"/>
          <w:lang w:val="en-CA"/>
        </w:rPr>
        <w:t xml:space="preserve"> I</w:t>
      </w:r>
      <w:r w:rsidR="00E54E34">
        <w:rPr>
          <w:rFonts w:ascii="Times New Roman" w:hAnsi="Times New Roman" w:cs="Times New Roman"/>
          <w:sz w:val="24"/>
          <w:szCs w:val="24"/>
          <w:lang w:val="en-CA"/>
        </w:rPr>
        <w:t>t is</w:t>
      </w:r>
      <w:r w:rsidR="00833B96">
        <w:rPr>
          <w:rFonts w:ascii="Times New Roman" w:hAnsi="Times New Roman" w:cs="Times New Roman"/>
          <w:sz w:val="24"/>
          <w:szCs w:val="24"/>
          <w:lang w:val="en-CA"/>
        </w:rPr>
        <w:t xml:space="preserve"> thus</w:t>
      </w:r>
      <w:r w:rsidR="00E54E34">
        <w:rPr>
          <w:rFonts w:ascii="Times New Roman" w:hAnsi="Times New Roman" w:cs="Times New Roman"/>
          <w:sz w:val="24"/>
          <w:szCs w:val="24"/>
          <w:lang w:val="en-CA"/>
        </w:rPr>
        <w:t xml:space="preserve"> necessar</w:t>
      </w:r>
      <w:r w:rsidR="00700D52">
        <w:rPr>
          <w:rFonts w:ascii="Times New Roman" w:hAnsi="Times New Roman" w:cs="Times New Roman"/>
          <w:sz w:val="24"/>
          <w:szCs w:val="24"/>
          <w:lang w:val="en-CA"/>
        </w:rPr>
        <w:t xml:space="preserve">y to make a distinction between </w:t>
      </w:r>
      <w:r w:rsidR="00E54E34">
        <w:rPr>
          <w:rFonts w:ascii="Times New Roman" w:hAnsi="Times New Roman" w:cs="Times New Roman"/>
          <w:sz w:val="24"/>
          <w:szCs w:val="24"/>
          <w:lang w:val="en-CA"/>
        </w:rPr>
        <w:t xml:space="preserve">the proportionality test regarding police measures and the test </w:t>
      </w:r>
      <w:r w:rsidR="00242B3D">
        <w:rPr>
          <w:rFonts w:ascii="Times New Roman" w:hAnsi="Times New Roman" w:cs="Times New Roman"/>
          <w:sz w:val="24"/>
          <w:szCs w:val="24"/>
          <w:lang w:val="en-CA"/>
        </w:rPr>
        <w:t>as regards</w:t>
      </w:r>
      <w:r w:rsidR="00E54E34">
        <w:rPr>
          <w:rFonts w:ascii="Times New Roman" w:hAnsi="Times New Roman" w:cs="Times New Roman"/>
          <w:sz w:val="24"/>
          <w:szCs w:val="24"/>
          <w:lang w:val="en-CA"/>
        </w:rPr>
        <w:t xml:space="preserve"> administrative sanctions. </w:t>
      </w:r>
      <w:r w:rsidR="00834BA7">
        <w:rPr>
          <w:rFonts w:ascii="Times New Roman" w:hAnsi="Times New Roman" w:cs="Times New Roman"/>
          <w:sz w:val="24"/>
          <w:szCs w:val="24"/>
          <w:lang w:val="en-CA"/>
        </w:rPr>
        <w:t>S</w:t>
      </w:r>
      <w:r w:rsidR="00E54E34">
        <w:rPr>
          <w:rFonts w:ascii="Times New Roman" w:hAnsi="Times New Roman" w:cs="Times New Roman"/>
          <w:sz w:val="24"/>
          <w:szCs w:val="24"/>
          <w:lang w:val="en-CA"/>
        </w:rPr>
        <w:t>ince the prohibition of place is to be c</w:t>
      </w:r>
      <w:r w:rsidR="00AA7F9A">
        <w:rPr>
          <w:rFonts w:ascii="Times New Roman" w:hAnsi="Times New Roman" w:cs="Times New Roman"/>
          <w:sz w:val="24"/>
          <w:szCs w:val="24"/>
          <w:lang w:val="en-CA"/>
        </w:rPr>
        <w:t>onsidered as a police measure</w:t>
      </w:r>
      <w:r w:rsidR="00AC1E35">
        <w:rPr>
          <w:rStyle w:val="Odwoanieprzypisudolnego"/>
          <w:rFonts w:ascii="Times New Roman" w:hAnsi="Times New Roman" w:cs="Times New Roman"/>
          <w:sz w:val="24"/>
          <w:szCs w:val="24"/>
          <w:lang w:val="en-CA"/>
        </w:rPr>
        <w:footnoteReference w:id="71"/>
      </w:r>
      <w:r w:rsidR="00AA7F9A">
        <w:rPr>
          <w:rFonts w:ascii="Times New Roman" w:hAnsi="Times New Roman" w:cs="Times New Roman"/>
          <w:sz w:val="24"/>
          <w:szCs w:val="24"/>
          <w:lang w:val="en-CA"/>
        </w:rPr>
        <w:t>, this contribution</w:t>
      </w:r>
      <w:r w:rsidR="00E54E34">
        <w:rPr>
          <w:rFonts w:ascii="Times New Roman" w:hAnsi="Times New Roman" w:cs="Times New Roman"/>
          <w:sz w:val="24"/>
          <w:szCs w:val="24"/>
          <w:lang w:val="en-CA"/>
        </w:rPr>
        <w:t xml:space="preserve"> start</w:t>
      </w:r>
      <w:r w:rsidR="00AA7F9A">
        <w:rPr>
          <w:rFonts w:ascii="Times New Roman" w:hAnsi="Times New Roman" w:cs="Times New Roman"/>
          <w:sz w:val="24"/>
          <w:szCs w:val="24"/>
          <w:lang w:val="en-CA"/>
        </w:rPr>
        <w:t>s</w:t>
      </w:r>
      <w:r w:rsidR="00E54E34">
        <w:rPr>
          <w:rFonts w:ascii="Times New Roman" w:hAnsi="Times New Roman" w:cs="Times New Roman"/>
          <w:sz w:val="24"/>
          <w:szCs w:val="24"/>
          <w:lang w:val="en-CA"/>
        </w:rPr>
        <w:t xml:space="preserve"> with the</w:t>
      </w:r>
      <w:r w:rsidR="00833B96">
        <w:rPr>
          <w:rFonts w:ascii="Times New Roman" w:hAnsi="Times New Roman" w:cs="Times New Roman"/>
          <w:sz w:val="24"/>
          <w:szCs w:val="24"/>
          <w:lang w:val="en-CA"/>
        </w:rPr>
        <w:t xml:space="preserve"> proportionality </w:t>
      </w:r>
      <w:r w:rsidR="0051666C">
        <w:rPr>
          <w:rFonts w:ascii="Times New Roman" w:hAnsi="Times New Roman" w:cs="Times New Roman"/>
          <w:sz w:val="24"/>
          <w:szCs w:val="24"/>
          <w:lang w:val="en-CA"/>
        </w:rPr>
        <w:t>review</w:t>
      </w:r>
      <w:r w:rsidR="00833B96">
        <w:rPr>
          <w:rFonts w:ascii="Times New Roman" w:hAnsi="Times New Roman" w:cs="Times New Roman"/>
          <w:sz w:val="24"/>
          <w:szCs w:val="24"/>
          <w:lang w:val="en-CA"/>
        </w:rPr>
        <w:t xml:space="preserve"> for</w:t>
      </w:r>
      <w:r w:rsidR="00834BA7">
        <w:rPr>
          <w:rFonts w:ascii="Times New Roman" w:hAnsi="Times New Roman" w:cs="Times New Roman"/>
          <w:sz w:val="24"/>
          <w:szCs w:val="24"/>
          <w:lang w:val="en-CA"/>
        </w:rPr>
        <w:t xml:space="preserve"> police measures. </w:t>
      </w:r>
      <w:r w:rsidR="00AA7F9A">
        <w:rPr>
          <w:rFonts w:ascii="Times New Roman" w:hAnsi="Times New Roman" w:cs="Times New Roman"/>
          <w:sz w:val="24"/>
          <w:szCs w:val="24"/>
          <w:lang w:val="en-CA"/>
        </w:rPr>
        <w:t>It proceeds with</w:t>
      </w:r>
      <w:r w:rsidR="00E54E34">
        <w:rPr>
          <w:rFonts w:ascii="Times New Roman" w:hAnsi="Times New Roman" w:cs="Times New Roman"/>
          <w:sz w:val="24"/>
          <w:szCs w:val="24"/>
          <w:lang w:val="en-CA"/>
        </w:rPr>
        <w:t xml:space="preserve"> </w:t>
      </w:r>
      <w:r w:rsidR="00AA7F9A">
        <w:rPr>
          <w:rFonts w:ascii="Times New Roman" w:hAnsi="Times New Roman" w:cs="Times New Roman"/>
          <w:sz w:val="24"/>
          <w:szCs w:val="24"/>
          <w:lang w:val="en-CA"/>
        </w:rPr>
        <w:t>analysing</w:t>
      </w:r>
      <w:r w:rsidR="00E54E34">
        <w:rPr>
          <w:rFonts w:ascii="Times New Roman" w:hAnsi="Times New Roman" w:cs="Times New Roman"/>
          <w:sz w:val="24"/>
          <w:szCs w:val="24"/>
          <w:lang w:val="en-CA"/>
        </w:rPr>
        <w:t xml:space="preserve"> the proportionality test conc</w:t>
      </w:r>
      <w:r w:rsidR="007524BB">
        <w:rPr>
          <w:rFonts w:ascii="Times New Roman" w:hAnsi="Times New Roman" w:cs="Times New Roman"/>
          <w:sz w:val="24"/>
          <w:szCs w:val="24"/>
          <w:lang w:val="en-CA"/>
        </w:rPr>
        <w:t>erning administrative</w:t>
      </w:r>
      <w:r w:rsidR="0061065B">
        <w:rPr>
          <w:rFonts w:ascii="Times New Roman" w:hAnsi="Times New Roman" w:cs="Times New Roman"/>
          <w:sz w:val="24"/>
          <w:szCs w:val="24"/>
          <w:lang w:val="en-CA"/>
        </w:rPr>
        <w:t xml:space="preserve"> </w:t>
      </w:r>
      <w:r w:rsidR="007524BB">
        <w:rPr>
          <w:rFonts w:ascii="Times New Roman" w:hAnsi="Times New Roman" w:cs="Times New Roman"/>
          <w:sz w:val="24"/>
          <w:szCs w:val="24"/>
          <w:lang w:val="en-CA"/>
        </w:rPr>
        <w:t>sanctions</w:t>
      </w:r>
      <w:r w:rsidR="00E54E34">
        <w:rPr>
          <w:rFonts w:ascii="Times New Roman" w:hAnsi="Times New Roman" w:cs="Times New Roman"/>
          <w:sz w:val="24"/>
          <w:szCs w:val="24"/>
          <w:lang w:val="en-CA"/>
        </w:rPr>
        <w:t>.</w:t>
      </w:r>
    </w:p>
    <w:p w14:paraId="4BEBED0D" w14:textId="77777777" w:rsidR="00CB21A9" w:rsidRPr="0061065B" w:rsidRDefault="00CB21A9" w:rsidP="00E54E34">
      <w:pPr>
        <w:jc w:val="both"/>
        <w:rPr>
          <w:rFonts w:ascii="Times New Roman" w:hAnsi="Times New Roman" w:cs="Times New Roman"/>
          <w:sz w:val="24"/>
          <w:szCs w:val="24"/>
          <w:lang w:val="en-US"/>
        </w:rPr>
      </w:pPr>
    </w:p>
    <w:p w14:paraId="34F1FB11" w14:textId="77777777" w:rsidR="00552FDB" w:rsidRPr="0061065B" w:rsidRDefault="00552FDB" w:rsidP="00D8481D">
      <w:pPr>
        <w:rPr>
          <w:rFonts w:ascii="Times New Roman" w:hAnsi="Times New Roman" w:cs="Times New Roman"/>
          <w:i/>
          <w:sz w:val="24"/>
          <w:szCs w:val="24"/>
          <w:u w:val="single"/>
          <w:lang w:val="en-US"/>
        </w:rPr>
      </w:pPr>
      <w:bookmarkStart w:id="10" w:name="_Toc453965900"/>
      <w:r w:rsidRPr="0061065B">
        <w:rPr>
          <w:rFonts w:ascii="Times New Roman" w:hAnsi="Times New Roman" w:cs="Times New Roman"/>
          <w:i/>
          <w:sz w:val="24"/>
          <w:szCs w:val="24"/>
          <w:u w:val="single"/>
          <w:lang w:val="en-US"/>
        </w:rPr>
        <w:t>Temporary prohibition of place as a police measure</w:t>
      </w:r>
      <w:bookmarkEnd w:id="10"/>
    </w:p>
    <w:p w14:paraId="359DD18F" w14:textId="77777777" w:rsidR="006E102C" w:rsidRPr="009642D2" w:rsidRDefault="00E45FDE" w:rsidP="00E54E34">
      <w:pPr>
        <w:jc w:val="both"/>
        <w:rPr>
          <w:rFonts w:ascii="Times New Roman" w:hAnsi="Times New Roman" w:cs="Times New Roman"/>
          <w:sz w:val="24"/>
          <w:szCs w:val="24"/>
          <w:lang w:val="en-US"/>
        </w:rPr>
      </w:pPr>
      <w:r>
        <w:rPr>
          <w:rFonts w:ascii="Times New Roman" w:hAnsi="Times New Roman" w:cs="Times New Roman"/>
          <w:sz w:val="24"/>
          <w:szCs w:val="24"/>
          <w:lang w:val="en-CA"/>
        </w:rPr>
        <w:t>In its case law</w:t>
      </w:r>
      <w:r w:rsidR="00E44ECB">
        <w:rPr>
          <w:rFonts w:ascii="Times New Roman" w:hAnsi="Times New Roman" w:cs="Times New Roman"/>
          <w:sz w:val="24"/>
          <w:szCs w:val="24"/>
          <w:lang w:val="en-CA"/>
        </w:rPr>
        <w:t>,</w:t>
      </w:r>
      <w:r w:rsidR="006E102C">
        <w:rPr>
          <w:rFonts w:ascii="Times New Roman" w:hAnsi="Times New Roman" w:cs="Times New Roman"/>
          <w:sz w:val="24"/>
          <w:szCs w:val="24"/>
          <w:lang w:val="en-CA"/>
        </w:rPr>
        <w:t xml:space="preserve"> the Council of State emphasis</w:t>
      </w:r>
      <w:r w:rsidR="0023254D">
        <w:rPr>
          <w:rFonts w:ascii="Times New Roman" w:hAnsi="Times New Roman" w:cs="Times New Roman"/>
          <w:sz w:val="24"/>
          <w:szCs w:val="24"/>
          <w:lang w:val="en-CA"/>
        </w:rPr>
        <w:t>es</w:t>
      </w:r>
      <w:r w:rsidR="006E102C">
        <w:rPr>
          <w:rFonts w:ascii="Times New Roman" w:hAnsi="Times New Roman" w:cs="Times New Roman"/>
          <w:sz w:val="24"/>
          <w:szCs w:val="24"/>
          <w:lang w:val="en-CA"/>
        </w:rPr>
        <w:t xml:space="preserve"> the fact that the aim of police measure</w:t>
      </w:r>
      <w:r w:rsidR="00D407B9">
        <w:rPr>
          <w:rFonts w:ascii="Times New Roman" w:hAnsi="Times New Roman" w:cs="Times New Roman"/>
          <w:sz w:val="24"/>
          <w:szCs w:val="24"/>
          <w:lang w:val="en-CA"/>
        </w:rPr>
        <w:t>s is to maintain public order. For this reason</w:t>
      </w:r>
      <w:r w:rsidR="006E102C">
        <w:rPr>
          <w:rFonts w:ascii="Times New Roman" w:hAnsi="Times New Roman" w:cs="Times New Roman"/>
          <w:sz w:val="24"/>
          <w:szCs w:val="24"/>
          <w:lang w:val="en-CA"/>
        </w:rPr>
        <w:t>, a police measure</w:t>
      </w:r>
      <w:r w:rsidR="00AC1E35">
        <w:rPr>
          <w:rFonts w:ascii="Times New Roman" w:hAnsi="Times New Roman" w:cs="Times New Roman"/>
          <w:sz w:val="24"/>
          <w:szCs w:val="24"/>
          <w:lang w:val="en-CA"/>
        </w:rPr>
        <w:t xml:space="preserve"> </w:t>
      </w:r>
      <w:r w:rsidR="006E102C">
        <w:rPr>
          <w:rFonts w:ascii="Times New Roman" w:hAnsi="Times New Roman" w:cs="Times New Roman"/>
          <w:sz w:val="24"/>
          <w:szCs w:val="24"/>
          <w:lang w:val="en-CA"/>
        </w:rPr>
        <w:t xml:space="preserve">is a </w:t>
      </w:r>
      <w:r w:rsidR="00DB0217">
        <w:rPr>
          <w:rFonts w:ascii="Times New Roman" w:hAnsi="Times New Roman" w:cs="Times New Roman"/>
          <w:i/>
          <w:sz w:val="24"/>
          <w:szCs w:val="24"/>
          <w:lang w:val="en-CA"/>
        </w:rPr>
        <w:t>prevent</w:t>
      </w:r>
      <w:r w:rsidR="006E102C" w:rsidRPr="00B82168">
        <w:rPr>
          <w:rFonts w:ascii="Times New Roman" w:hAnsi="Times New Roman" w:cs="Times New Roman"/>
          <w:i/>
          <w:sz w:val="24"/>
          <w:szCs w:val="24"/>
          <w:lang w:val="en-CA"/>
        </w:rPr>
        <w:t>ive</w:t>
      </w:r>
      <w:r w:rsidR="006E102C">
        <w:rPr>
          <w:rFonts w:ascii="Times New Roman" w:hAnsi="Times New Roman" w:cs="Times New Roman"/>
          <w:sz w:val="24"/>
          <w:szCs w:val="24"/>
          <w:lang w:val="en-CA"/>
        </w:rPr>
        <w:t xml:space="preserve"> measure and</w:t>
      </w:r>
      <w:r>
        <w:rPr>
          <w:rFonts w:ascii="Times New Roman" w:hAnsi="Times New Roman" w:cs="Times New Roman"/>
          <w:sz w:val="24"/>
          <w:szCs w:val="24"/>
          <w:lang w:val="en-CA"/>
        </w:rPr>
        <w:t xml:space="preserve"> not an administrati</w:t>
      </w:r>
      <w:r w:rsidR="00E44ECB">
        <w:rPr>
          <w:rFonts w:ascii="Times New Roman" w:hAnsi="Times New Roman" w:cs="Times New Roman"/>
          <w:sz w:val="24"/>
          <w:szCs w:val="24"/>
          <w:lang w:val="en-CA"/>
        </w:rPr>
        <w:t>ve</w:t>
      </w:r>
      <w:r>
        <w:rPr>
          <w:rFonts w:ascii="Times New Roman" w:hAnsi="Times New Roman" w:cs="Times New Roman"/>
          <w:sz w:val="24"/>
          <w:szCs w:val="24"/>
          <w:lang w:val="en-CA"/>
        </w:rPr>
        <w:t xml:space="preserve"> sanction</w:t>
      </w:r>
      <w:r w:rsidR="00AC1E35">
        <w:rPr>
          <w:rFonts w:ascii="Times New Roman" w:hAnsi="Times New Roman" w:cs="Times New Roman"/>
          <w:sz w:val="24"/>
          <w:szCs w:val="24"/>
          <w:lang w:val="en-CA"/>
        </w:rPr>
        <w:t>,</w:t>
      </w:r>
      <w:r w:rsidR="006E102C">
        <w:rPr>
          <w:rFonts w:ascii="Times New Roman" w:hAnsi="Times New Roman" w:cs="Times New Roman"/>
          <w:sz w:val="24"/>
          <w:szCs w:val="24"/>
          <w:lang w:val="en-CA"/>
        </w:rPr>
        <w:t xml:space="preserve"> regardless </w:t>
      </w:r>
      <w:r w:rsidR="00E44ECB">
        <w:rPr>
          <w:rFonts w:ascii="Times New Roman" w:hAnsi="Times New Roman" w:cs="Times New Roman"/>
          <w:sz w:val="24"/>
          <w:szCs w:val="24"/>
          <w:lang w:val="en-CA"/>
        </w:rPr>
        <w:t xml:space="preserve">of </w:t>
      </w:r>
      <w:r w:rsidR="006E102C">
        <w:rPr>
          <w:rFonts w:ascii="Times New Roman" w:hAnsi="Times New Roman" w:cs="Times New Roman"/>
          <w:sz w:val="24"/>
          <w:szCs w:val="24"/>
          <w:lang w:val="en-CA"/>
        </w:rPr>
        <w:t xml:space="preserve">the fact that the </w:t>
      </w:r>
      <w:r w:rsidR="00E44ECB">
        <w:rPr>
          <w:rFonts w:ascii="Times New Roman" w:hAnsi="Times New Roman" w:cs="Times New Roman"/>
          <w:sz w:val="24"/>
          <w:szCs w:val="24"/>
          <w:lang w:val="en-CA"/>
        </w:rPr>
        <w:t>measure may entail</w:t>
      </w:r>
      <w:r w:rsidR="006E102C">
        <w:rPr>
          <w:rFonts w:ascii="Times New Roman" w:hAnsi="Times New Roman" w:cs="Times New Roman"/>
          <w:sz w:val="24"/>
          <w:szCs w:val="24"/>
          <w:lang w:val="en-CA"/>
        </w:rPr>
        <w:t xml:space="preserve"> a </w:t>
      </w:r>
      <w:r w:rsidR="006E102C" w:rsidRPr="00173ED9">
        <w:rPr>
          <w:rFonts w:ascii="Times New Roman" w:hAnsi="Times New Roman" w:cs="Times New Roman"/>
          <w:sz w:val="24"/>
          <w:szCs w:val="24"/>
          <w:lang w:val="en-CA"/>
        </w:rPr>
        <w:t>disadvantage to the person concerned</w:t>
      </w:r>
      <w:r w:rsidR="006E102C" w:rsidRPr="00173ED9">
        <w:rPr>
          <w:rStyle w:val="Odwoanieprzypisudolnego"/>
          <w:rFonts w:ascii="Times New Roman" w:hAnsi="Times New Roman" w:cs="Times New Roman"/>
          <w:sz w:val="24"/>
          <w:szCs w:val="24"/>
        </w:rPr>
        <w:footnoteReference w:id="72"/>
      </w:r>
      <w:r w:rsidR="006E102C" w:rsidRPr="00173ED9">
        <w:rPr>
          <w:rFonts w:ascii="Times New Roman" w:hAnsi="Times New Roman" w:cs="Times New Roman"/>
          <w:sz w:val="24"/>
          <w:szCs w:val="24"/>
          <w:lang w:val="en-CA"/>
        </w:rPr>
        <w:t>. Th</w:t>
      </w:r>
      <w:r w:rsidR="00262352" w:rsidRPr="00173ED9">
        <w:rPr>
          <w:rFonts w:ascii="Times New Roman" w:hAnsi="Times New Roman" w:cs="Times New Roman"/>
          <w:sz w:val="24"/>
          <w:szCs w:val="24"/>
          <w:lang w:val="en-CA"/>
        </w:rPr>
        <w:t>e fact that the measure harms the individual</w:t>
      </w:r>
      <w:r w:rsidR="006E102C" w:rsidRPr="00173ED9">
        <w:rPr>
          <w:rFonts w:ascii="Times New Roman" w:hAnsi="Times New Roman" w:cs="Times New Roman"/>
          <w:sz w:val="24"/>
          <w:szCs w:val="24"/>
          <w:lang w:val="en-CA"/>
        </w:rPr>
        <w:t xml:space="preserve"> does</w:t>
      </w:r>
      <w:r w:rsidR="006E102C">
        <w:rPr>
          <w:rFonts w:ascii="Times New Roman" w:hAnsi="Times New Roman" w:cs="Times New Roman"/>
          <w:sz w:val="24"/>
          <w:szCs w:val="24"/>
          <w:lang w:val="en-CA"/>
        </w:rPr>
        <w:t xml:space="preserve"> </w:t>
      </w:r>
      <w:r w:rsidR="006E102C" w:rsidRPr="00913A16">
        <w:rPr>
          <w:rFonts w:ascii="Times New Roman" w:hAnsi="Times New Roman" w:cs="Times New Roman"/>
          <w:sz w:val="24"/>
          <w:szCs w:val="24"/>
          <w:lang w:val="en-CA"/>
        </w:rPr>
        <w:t>not</w:t>
      </w:r>
      <w:r w:rsidR="00262352" w:rsidRPr="00913A16">
        <w:rPr>
          <w:rFonts w:ascii="Times New Roman" w:hAnsi="Times New Roman" w:cs="Times New Roman"/>
          <w:sz w:val="24"/>
          <w:szCs w:val="24"/>
          <w:lang w:val="en-CA"/>
        </w:rPr>
        <w:t xml:space="preserve"> </w:t>
      </w:r>
      <w:r w:rsidR="00262352" w:rsidRPr="00913A16">
        <w:rPr>
          <w:rFonts w:ascii="Times New Roman" w:hAnsi="Times New Roman" w:cs="Times New Roman"/>
          <w:i/>
          <w:sz w:val="24"/>
          <w:szCs w:val="24"/>
          <w:lang w:val="en-CA"/>
        </w:rPr>
        <w:t>per se</w:t>
      </w:r>
      <w:r w:rsidR="006E102C" w:rsidRPr="00913A16">
        <w:rPr>
          <w:rFonts w:ascii="Times New Roman" w:hAnsi="Times New Roman" w:cs="Times New Roman"/>
          <w:sz w:val="24"/>
          <w:szCs w:val="24"/>
          <w:lang w:val="en-CA"/>
        </w:rPr>
        <w:t xml:space="preserve"> turn </w:t>
      </w:r>
      <w:r w:rsidR="00AC1E35">
        <w:rPr>
          <w:rFonts w:ascii="Times New Roman" w:hAnsi="Times New Roman" w:cs="Times New Roman"/>
          <w:sz w:val="24"/>
          <w:szCs w:val="24"/>
          <w:lang w:val="en-CA"/>
        </w:rPr>
        <w:t>i</w:t>
      </w:r>
      <w:r w:rsidR="006E102C" w:rsidRPr="00913A16">
        <w:rPr>
          <w:rFonts w:ascii="Times New Roman" w:hAnsi="Times New Roman" w:cs="Times New Roman"/>
          <w:sz w:val="24"/>
          <w:szCs w:val="24"/>
          <w:lang w:val="en-CA"/>
        </w:rPr>
        <w:t>t into a disproportionate measure.</w:t>
      </w:r>
      <w:r w:rsidR="00AC154F" w:rsidRPr="00913A16">
        <w:rPr>
          <w:rFonts w:ascii="Times New Roman" w:hAnsi="Times New Roman" w:cs="Times New Roman"/>
          <w:sz w:val="24"/>
          <w:szCs w:val="24"/>
          <w:lang w:val="en-CA"/>
        </w:rPr>
        <w:t xml:space="preserve"> </w:t>
      </w:r>
      <w:r w:rsidR="00262352" w:rsidRPr="00913A16">
        <w:rPr>
          <w:rFonts w:ascii="Times New Roman" w:hAnsi="Times New Roman" w:cs="Times New Roman"/>
          <w:sz w:val="24"/>
          <w:szCs w:val="24"/>
          <w:lang w:val="en-CA"/>
        </w:rPr>
        <w:t>What is decisive for the</w:t>
      </w:r>
      <w:r w:rsidR="00262352" w:rsidRPr="00262352">
        <w:rPr>
          <w:rFonts w:ascii="Times New Roman" w:hAnsi="Times New Roman" w:cs="Times New Roman"/>
          <w:sz w:val="24"/>
          <w:szCs w:val="24"/>
          <w:lang w:val="en-CA"/>
        </w:rPr>
        <w:t xml:space="preserve"> proportionality test of police measures is thus not the harm caused to the individual</w:t>
      </w:r>
      <w:r w:rsidR="006E102C" w:rsidRPr="00262352">
        <w:rPr>
          <w:rFonts w:ascii="Times New Roman" w:hAnsi="Times New Roman" w:cs="Times New Roman"/>
          <w:sz w:val="24"/>
          <w:szCs w:val="24"/>
          <w:lang w:val="en-CA"/>
        </w:rPr>
        <w:t>, but what is necessary from a viewpoint of restoring public order</w:t>
      </w:r>
      <w:r w:rsidR="006E102C" w:rsidRPr="00262352">
        <w:rPr>
          <w:rStyle w:val="Odwoanieprzypisudolnego"/>
          <w:rFonts w:ascii="Times New Roman" w:hAnsi="Times New Roman" w:cs="Times New Roman"/>
          <w:sz w:val="24"/>
          <w:szCs w:val="24"/>
        </w:rPr>
        <w:footnoteReference w:id="73"/>
      </w:r>
      <w:r w:rsidR="009642D2" w:rsidRPr="009642D2">
        <w:rPr>
          <w:rFonts w:ascii="Times New Roman" w:hAnsi="Times New Roman" w:cs="Times New Roman"/>
          <w:sz w:val="24"/>
          <w:szCs w:val="24"/>
          <w:lang w:val="en-US"/>
        </w:rPr>
        <w:t>.</w:t>
      </w:r>
    </w:p>
    <w:p w14:paraId="48683D78" w14:textId="70638FDD" w:rsidR="006E102C" w:rsidRPr="00262352" w:rsidRDefault="000E46E0" w:rsidP="006E102C">
      <w:pPr>
        <w:tabs>
          <w:tab w:val="left" w:pos="1701"/>
        </w:tabs>
        <w:spacing w:after="0"/>
        <w:jc w:val="both"/>
        <w:rPr>
          <w:rFonts w:ascii="Times New Roman" w:hAnsi="Times New Roman" w:cs="Times New Roman"/>
          <w:sz w:val="24"/>
          <w:szCs w:val="24"/>
          <w:highlight w:val="yellow"/>
          <w:lang w:val="en-CA"/>
        </w:rPr>
      </w:pPr>
      <w:r>
        <w:rPr>
          <w:rFonts w:ascii="Times New Roman" w:hAnsi="Times New Roman" w:cs="Times New Roman"/>
          <w:sz w:val="24"/>
          <w:szCs w:val="24"/>
          <w:lang w:val="en-CA"/>
        </w:rPr>
        <w:lastRenderedPageBreak/>
        <w:t>The</w:t>
      </w:r>
      <w:r w:rsidR="006E102C" w:rsidRPr="008655FF">
        <w:rPr>
          <w:rFonts w:ascii="Times New Roman" w:hAnsi="Times New Roman" w:cs="Times New Roman"/>
          <w:sz w:val="24"/>
          <w:szCs w:val="24"/>
          <w:lang w:val="en-CA"/>
        </w:rPr>
        <w:t xml:space="preserve"> Council of State </w:t>
      </w:r>
      <w:r w:rsidR="006E102C">
        <w:rPr>
          <w:rFonts w:ascii="Times New Roman" w:hAnsi="Times New Roman" w:cs="Times New Roman"/>
          <w:sz w:val="24"/>
          <w:szCs w:val="24"/>
          <w:lang w:val="en-CA"/>
        </w:rPr>
        <w:t xml:space="preserve">usually examines two preliminary questions to consider whether the imposed police measure is proportionate. </w:t>
      </w:r>
      <w:r w:rsidR="009642D2">
        <w:rPr>
          <w:rFonts w:ascii="Times New Roman" w:hAnsi="Times New Roman" w:cs="Times New Roman"/>
          <w:sz w:val="24"/>
          <w:szCs w:val="24"/>
          <w:lang w:val="en-CA"/>
        </w:rPr>
        <w:t>It</w:t>
      </w:r>
      <w:r w:rsidR="006E102C">
        <w:rPr>
          <w:rFonts w:ascii="Times New Roman" w:hAnsi="Times New Roman" w:cs="Times New Roman"/>
          <w:sz w:val="24"/>
          <w:szCs w:val="24"/>
          <w:lang w:val="en-CA"/>
        </w:rPr>
        <w:t xml:space="preserve"> first analyses whether there </w:t>
      </w:r>
      <w:r w:rsidR="00E44ECB">
        <w:rPr>
          <w:rFonts w:ascii="Times New Roman" w:hAnsi="Times New Roman" w:cs="Times New Roman"/>
          <w:sz w:val="24"/>
          <w:szCs w:val="24"/>
          <w:lang w:val="en-CA"/>
        </w:rPr>
        <w:t>is a specific need</w:t>
      </w:r>
      <w:r w:rsidR="006E102C">
        <w:rPr>
          <w:rFonts w:ascii="Times New Roman" w:hAnsi="Times New Roman" w:cs="Times New Roman"/>
          <w:sz w:val="24"/>
          <w:szCs w:val="24"/>
          <w:lang w:val="en-CA"/>
        </w:rPr>
        <w:t xml:space="preserve"> to maintain public order</w:t>
      </w:r>
      <w:r w:rsidR="006E102C" w:rsidRPr="0098606C">
        <w:rPr>
          <w:rStyle w:val="Odwoanieprzypisudolnego"/>
          <w:rFonts w:ascii="Times New Roman" w:hAnsi="Times New Roman" w:cs="Times New Roman"/>
          <w:sz w:val="24"/>
          <w:szCs w:val="24"/>
        </w:rPr>
        <w:footnoteReference w:id="74"/>
      </w:r>
      <w:r w:rsidR="006E102C">
        <w:rPr>
          <w:rFonts w:ascii="Times New Roman" w:hAnsi="Times New Roman" w:cs="Times New Roman"/>
          <w:sz w:val="24"/>
          <w:szCs w:val="24"/>
          <w:lang w:val="en-CA"/>
        </w:rPr>
        <w:t xml:space="preserve">. </w:t>
      </w:r>
      <w:r w:rsidR="006E102C" w:rsidRPr="00B36CD2">
        <w:rPr>
          <w:rFonts w:ascii="Times New Roman" w:hAnsi="Times New Roman" w:cs="Times New Roman"/>
          <w:sz w:val="24"/>
          <w:szCs w:val="24"/>
          <w:lang w:val="en-CA"/>
        </w:rPr>
        <w:t>Subsequently</w:t>
      </w:r>
      <w:r w:rsidR="004D34D4">
        <w:rPr>
          <w:rFonts w:ascii="Times New Roman" w:hAnsi="Times New Roman" w:cs="Times New Roman"/>
          <w:sz w:val="24"/>
          <w:szCs w:val="24"/>
          <w:lang w:val="en-CA"/>
        </w:rPr>
        <w:t>,</w:t>
      </w:r>
      <w:r w:rsidR="006E102C" w:rsidRPr="00B36CD2">
        <w:rPr>
          <w:rFonts w:ascii="Times New Roman" w:hAnsi="Times New Roman" w:cs="Times New Roman"/>
          <w:sz w:val="24"/>
          <w:szCs w:val="24"/>
          <w:lang w:val="en-CA"/>
        </w:rPr>
        <w:t xml:space="preserve"> the Council of State examines whether the imposed measure is adapted to the </w:t>
      </w:r>
      <w:r w:rsidR="00E44ECB">
        <w:rPr>
          <w:rFonts w:ascii="Times New Roman" w:hAnsi="Times New Roman" w:cs="Times New Roman"/>
          <w:sz w:val="24"/>
          <w:szCs w:val="24"/>
          <w:lang w:val="en-CA"/>
        </w:rPr>
        <w:t>specific need</w:t>
      </w:r>
      <w:r w:rsidR="006E102C" w:rsidRPr="00B36CD2">
        <w:rPr>
          <w:rFonts w:ascii="Times New Roman" w:hAnsi="Times New Roman" w:cs="Times New Roman"/>
          <w:sz w:val="24"/>
          <w:szCs w:val="24"/>
          <w:lang w:val="en-CA"/>
        </w:rPr>
        <w:t xml:space="preserve"> to maintain public order. </w:t>
      </w:r>
      <w:r w:rsidR="006E102C" w:rsidRPr="00173ED9">
        <w:rPr>
          <w:rFonts w:ascii="Times New Roman" w:hAnsi="Times New Roman" w:cs="Times New Roman"/>
          <w:sz w:val="24"/>
          <w:szCs w:val="24"/>
          <w:lang w:val="en-CA"/>
        </w:rPr>
        <w:t>Therefore</w:t>
      </w:r>
      <w:r w:rsidR="0051666C">
        <w:rPr>
          <w:rFonts w:ascii="Times New Roman" w:hAnsi="Times New Roman" w:cs="Times New Roman"/>
          <w:sz w:val="24"/>
          <w:szCs w:val="24"/>
          <w:lang w:val="en-CA"/>
        </w:rPr>
        <w:t>, it</w:t>
      </w:r>
      <w:r w:rsidR="006E102C" w:rsidRPr="00262352">
        <w:rPr>
          <w:rFonts w:ascii="Times New Roman" w:hAnsi="Times New Roman" w:cs="Times New Roman"/>
          <w:sz w:val="24"/>
          <w:szCs w:val="24"/>
          <w:lang w:val="en-CA"/>
        </w:rPr>
        <w:t xml:space="preserve"> generally considers the </w:t>
      </w:r>
      <w:r w:rsidR="00262352" w:rsidRPr="00262352">
        <w:rPr>
          <w:rFonts w:ascii="Times New Roman" w:hAnsi="Times New Roman" w:cs="Times New Roman"/>
          <w:sz w:val="24"/>
          <w:szCs w:val="24"/>
          <w:lang w:val="en-CA"/>
        </w:rPr>
        <w:t xml:space="preserve">following </w:t>
      </w:r>
      <w:r w:rsidR="006E102C" w:rsidRPr="00262352">
        <w:rPr>
          <w:rFonts w:ascii="Times New Roman" w:hAnsi="Times New Roman" w:cs="Times New Roman"/>
          <w:sz w:val="24"/>
          <w:szCs w:val="24"/>
          <w:lang w:val="en-CA"/>
        </w:rPr>
        <w:t>three questions</w:t>
      </w:r>
      <w:r w:rsidR="006E102C" w:rsidRPr="0098606C">
        <w:rPr>
          <w:rStyle w:val="Odwoanieprzypisudolnego"/>
          <w:rFonts w:ascii="Times New Roman" w:hAnsi="Times New Roman" w:cs="Times New Roman"/>
          <w:sz w:val="24"/>
          <w:szCs w:val="24"/>
        </w:rPr>
        <w:footnoteReference w:id="75"/>
      </w:r>
      <w:r w:rsidR="006E102C" w:rsidRPr="00262352">
        <w:rPr>
          <w:rFonts w:ascii="Times New Roman" w:hAnsi="Times New Roman" w:cs="Times New Roman"/>
          <w:sz w:val="24"/>
          <w:szCs w:val="24"/>
          <w:lang w:val="en-CA"/>
        </w:rPr>
        <w:t>:</w:t>
      </w:r>
      <w:r w:rsidR="006E102C" w:rsidRPr="0098606C">
        <w:rPr>
          <w:rStyle w:val="Odwoanieprzypisudolnego"/>
          <w:rFonts w:ascii="Times New Roman" w:hAnsi="Times New Roman" w:cs="Times New Roman"/>
          <w:sz w:val="24"/>
          <w:szCs w:val="24"/>
        </w:rPr>
        <w:footnoteReference w:id="76"/>
      </w:r>
    </w:p>
    <w:p w14:paraId="620AF6A3" w14:textId="77777777" w:rsidR="006E102C" w:rsidRPr="00777075" w:rsidRDefault="006E102C" w:rsidP="006E102C">
      <w:pPr>
        <w:pStyle w:val="Akapitzlist"/>
        <w:numPr>
          <w:ilvl w:val="0"/>
          <w:numId w:val="17"/>
        </w:numPr>
        <w:tabs>
          <w:tab w:val="left" w:pos="1701"/>
        </w:tabs>
        <w:spacing w:after="0"/>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Is the measure </w:t>
      </w:r>
      <w:r w:rsidRPr="00CA022F">
        <w:rPr>
          <w:rFonts w:ascii="Times New Roman" w:hAnsi="Times New Roman" w:cs="Times New Roman"/>
          <w:i/>
          <w:sz w:val="24"/>
          <w:szCs w:val="24"/>
          <w:lang w:val="en-CA"/>
        </w:rPr>
        <w:t>useful</w:t>
      </w:r>
      <w:r w:rsidRPr="00777075">
        <w:rPr>
          <w:rFonts w:ascii="Times New Roman" w:hAnsi="Times New Roman" w:cs="Times New Roman"/>
          <w:sz w:val="24"/>
          <w:szCs w:val="24"/>
          <w:lang w:val="en-CA"/>
        </w:rPr>
        <w:t xml:space="preserve"> to counter the public order disturbance?;</w:t>
      </w:r>
    </w:p>
    <w:p w14:paraId="59A4C772" w14:textId="47EA36D6" w:rsidR="006E102C" w:rsidRDefault="006E102C" w:rsidP="006E102C">
      <w:pPr>
        <w:pStyle w:val="Akapitzlist"/>
        <w:numPr>
          <w:ilvl w:val="0"/>
          <w:numId w:val="17"/>
        </w:numPr>
        <w:tabs>
          <w:tab w:val="left" w:pos="1701"/>
        </w:tabs>
        <w:spacing w:after="0"/>
        <w:jc w:val="both"/>
        <w:rPr>
          <w:rFonts w:ascii="Times New Roman" w:hAnsi="Times New Roman" w:cs="Times New Roman"/>
          <w:sz w:val="24"/>
          <w:szCs w:val="24"/>
          <w:lang w:val="en-CA"/>
        </w:rPr>
      </w:pPr>
      <w:r w:rsidRPr="00777075">
        <w:rPr>
          <w:rFonts w:ascii="Times New Roman" w:hAnsi="Times New Roman" w:cs="Times New Roman"/>
          <w:sz w:val="24"/>
          <w:szCs w:val="24"/>
          <w:lang w:val="en-CA"/>
        </w:rPr>
        <w:t xml:space="preserve">Is the measure </w:t>
      </w:r>
      <w:r w:rsidRPr="00777075">
        <w:rPr>
          <w:rFonts w:ascii="Times New Roman" w:hAnsi="Times New Roman" w:cs="Times New Roman"/>
          <w:i/>
          <w:sz w:val="24"/>
          <w:szCs w:val="24"/>
          <w:lang w:val="en-CA"/>
        </w:rPr>
        <w:t>necessary</w:t>
      </w:r>
      <w:r>
        <w:rPr>
          <w:rFonts w:ascii="Times New Roman" w:hAnsi="Times New Roman" w:cs="Times New Roman"/>
          <w:sz w:val="24"/>
          <w:szCs w:val="24"/>
          <w:lang w:val="en-CA"/>
        </w:rPr>
        <w:t xml:space="preserve"> to </w:t>
      </w:r>
      <w:r w:rsidRPr="005669A0">
        <w:rPr>
          <w:rFonts w:ascii="Times New Roman" w:hAnsi="Times New Roman" w:cs="Times New Roman"/>
          <w:sz w:val="24"/>
          <w:szCs w:val="24"/>
          <w:lang w:val="en-CA"/>
        </w:rPr>
        <w:t>counter the public order disturbance</w:t>
      </w:r>
      <w:r w:rsidR="003E38F9" w:rsidRPr="005669A0">
        <w:rPr>
          <w:rFonts w:ascii="Times New Roman" w:hAnsi="Times New Roman" w:cs="Times New Roman"/>
          <w:sz w:val="24"/>
          <w:szCs w:val="24"/>
          <w:lang w:val="en-CA"/>
        </w:rPr>
        <w:t xml:space="preserve">? According to the Council’s case law, ‘necessary’ must be interpreted as a synonym for ‘prerequisite’ and thus ‘indispensable’, </w:t>
      </w:r>
      <w:r w:rsidR="0051666C">
        <w:rPr>
          <w:rFonts w:ascii="Times New Roman" w:hAnsi="Times New Roman" w:cs="Times New Roman"/>
          <w:sz w:val="24"/>
          <w:szCs w:val="24"/>
          <w:lang w:val="en-CA"/>
        </w:rPr>
        <w:t>in contrast</w:t>
      </w:r>
      <w:r w:rsidR="003E38F9" w:rsidRPr="005669A0">
        <w:rPr>
          <w:rFonts w:ascii="Times New Roman" w:hAnsi="Times New Roman" w:cs="Times New Roman"/>
          <w:sz w:val="24"/>
          <w:szCs w:val="24"/>
          <w:lang w:val="en-CA"/>
        </w:rPr>
        <w:t xml:space="preserve"> to the Strasbourg Court</w:t>
      </w:r>
      <w:r w:rsidR="0051666C">
        <w:rPr>
          <w:rFonts w:ascii="Times New Roman" w:hAnsi="Times New Roman" w:cs="Times New Roman"/>
          <w:sz w:val="24"/>
          <w:szCs w:val="24"/>
          <w:lang w:val="en-CA"/>
        </w:rPr>
        <w:t>’s</w:t>
      </w:r>
      <w:r w:rsidR="0051666C" w:rsidRPr="0051666C">
        <w:rPr>
          <w:rFonts w:ascii="Times New Roman" w:hAnsi="Times New Roman" w:cs="Times New Roman"/>
          <w:sz w:val="24"/>
          <w:szCs w:val="24"/>
          <w:lang w:val="en-CA"/>
        </w:rPr>
        <w:t xml:space="preserve"> </w:t>
      </w:r>
      <w:r w:rsidR="0051666C" w:rsidRPr="005669A0">
        <w:rPr>
          <w:rFonts w:ascii="Times New Roman" w:hAnsi="Times New Roman" w:cs="Times New Roman"/>
          <w:sz w:val="24"/>
          <w:szCs w:val="24"/>
          <w:lang w:val="en-CA"/>
        </w:rPr>
        <w:t>case law</w:t>
      </w:r>
      <w:r w:rsidR="003E38F9" w:rsidRPr="005669A0">
        <w:rPr>
          <w:rFonts w:ascii="Times New Roman" w:hAnsi="Times New Roman" w:cs="Times New Roman"/>
          <w:sz w:val="24"/>
          <w:szCs w:val="24"/>
          <w:lang w:val="en-CA"/>
        </w:rPr>
        <w:t>. This implies that the government should apply the least intrusive measure</w:t>
      </w:r>
      <w:r w:rsidR="008325BD" w:rsidRPr="005669A0">
        <w:rPr>
          <w:rStyle w:val="Odwoanieprzypisudolnego"/>
          <w:rFonts w:ascii="Times New Roman" w:hAnsi="Times New Roman" w:cs="Times New Roman"/>
          <w:sz w:val="24"/>
          <w:szCs w:val="24"/>
        </w:rPr>
        <w:footnoteReference w:id="77"/>
      </w:r>
      <w:r w:rsidRPr="005669A0">
        <w:rPr>
          <w:rFonts w:ascii="Times New Roman" w:hAnsi="Times New Roman" w:cs="Times New Roman"/>
          <w:sz w:val="24"/>
          <w:szCs w:val="24"/>
          <w:lang w:val="en-CA"/>
        </w:rPr>
        <w:t>;</w:t>
      </w:r>
    </w:p>
    <w:p w14:paraId="21844066" w14:textId="77777777" w:rsidR="006E102C" w:rsidRPr="00CA022F" w:rsidRDefault="006E102C" w:rsidP="006E102C">
      <w:pPr>
        <w:pStyle w:val="Akapitzlist"/>
        <w:numPr>
          <w:ilvl w:val="0"/>
          <w:numId w:val="17"/>
        </w:numPr>
        <w:tabs>
          <w:tab w:val="left" w:pos="1701"/>
        </w:tabs>
        <w:spacing w:after="0"/>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Are the </w:t>
      </w:r>
      <w:r w:rsidRPr="00CA022F">
        <w:rPr>
          <w:rFonts w:ascii="Times New Roman" w:hAnsi="Times New Roman" w:cs="Times New Roman"/>
          <w:i/>
          <w:sz w:val="24"/>
          <w:szCs w:val="24"/>
          <w:lang w:val="en-CA"/>
        </w:rPr>
        <w:t>disadvantages</w:t>
      </w:r>
      <w:r>
        <w:rPr>
          <w:rFonts w:ascii="Times New Roman" w:hAnsi="Times New Roman" w:cs="Times New Roman"/>
          <w:sz w:val="24"/>
          <w:szCs w:val="24"/>
          <w:lang w:val="en-CA"/>
        </w:rPr>
        <w:t xml:space="preserve"> for the individual caused by the measure </w:t>
      </w:r>
      <w:r w:rsidRPr="00777075">
        <w:rPr>
          <w:rFonts w:ascii="Times New Roman" w:hAnsi="Times New Roman" w:cs="Times New Roman"/>
          <w:i/>
          <w:sz w:val="24"/>
          <w:szCs w:val="24"/>
          <w:lang w:val="en-CA"/>
        </w:rPr>
        <w:t xml:space="preserve">proportionate to the </w:t>
      </w:r>
      <w:r>
        <w:rPr>
          <w:rFonts w:ascii="Times New Roman" w:hAnsi="Times New Roman" w:cs="Times New Roman"/>
          <w:i/>
          <w:sz w:val="24"/>
          <w:szCs w:val="24"/>
          <w:lang w:val="en-CA"/>
        </w:rPr>
        <w:t>seriousness</w:t>
      </w:r>
      <w:r w:rsidRPr="00777075">
        <w:rPr>
          <w:rFonts w:ascii="Times New Roman" w:hAnsi="Times New Roman" w:cs="Times New Roman"/>
          <w:i/>
          <w:sz w:val="24"/>
          <w:szCs w:val="24"/>
          <w:lang w:val="en-CA"/>
        </w:rPr>
        <w:t xml:space="preserve"> of the public order disturbance</w:t>
      </w:r>
      <w:r>
        <w:rPr>
          <w:rFonts w:ascii="Times New Roman" w:hAnsi="Times New Roman" w:cs="Times New Roman"/>
          <w:sz w:val="24"/>
          <w:szCs w:val="24"/>
          <w:lang w:val="en-CA"/>
        </w:rPr>
        <w:t xml:space="preserve"> which the </w:t>
      </w:r>
      <w:r w:rsidR="00222517">
        <w:rPr>
          <w:rFonts w:ascii="Times New Roman" w:hAnsi="Times New Roman" w:cs="Times New Roman"/>
          <w:sz w:val="24"/>
          <w:szCs w:val="24"/>
          <w:lang w:val="en-CA"/>
        </w:rPr>
        <w:t>executive</w:t>
      </w:r>
      <w:r w:rsidR="006E7F58">
        <w:rPr>
          <w:rFonts w:ascii="Times New Roman" w:hAnsi="Times New Roman" w:cs="Times New Roman"/>
          <w:sz w:val="24"/>
          <w:szCs w:val="24"/>
          <w:lang w:val="en-CA"/>
        </w:rPr>
        <w:t xml:space="preserve"> wishes to counter</w:t>
      </w:r>
      <w:r w:rsidR="00CA022F">
        <w:rPr>
          <w:rFonts w:ascii="Times New Roman" w:hAnsi="Times New Roman" w:cs="Times New Roman"/>
          <w:sz w:val="24"/>
          <w:szCs w:val="24"/>
          <w:lang w:val="en-CA"/>
        </w:rPr>
        <w:t xml:space="preserve">? </w:t>
      </w:r>
      <w:r w:rsidR="00CA022F" w:rsidRPr="00CA022F">
        <w:rPr>
          <w:rFonts w:ascii="Times New Roman" w:hAnsi="Times New Roman" w:cs="Times New Roman"/>
          <w:sz w:val="24"/>
          <w:szCs w:val="24"/>
          <w:lang w:val="en-CA"/>
        </w:rPr>
        <w:t xml:space="preserve">This </w:t>
      </w:r>
      <w:r w:rsidR="00CA022F">
        <w:rPr>
          <w:rFonts w:ascii="Times New Roman" w:hAnsi="Times New Roman" w:cs="Times New Roman"/>
          <w:sz w:val="24"/>
          <w:szCs w:val="24"/>
          <w:lang w:val="en-CA"/>
        </w:rPr>
        <w:t xml:space="preserve">requires </w:t>
      </w:r>
      <w:r w:rsidR="00CA022F" w:rsidRPr="00CA022F">
        <w:rPr>
          <w:rFonts w:ascii="Times New Roman" w:hAnsi="Times New Roman" w:cs="Times New Roman"/>
          <w:sz w:val="24"/>
          <w:szCs w:val="24"/>
          <w:lang w:val="en-CA"/>
        </w:rPr>
        <w:t xml:space="preserve">a fair balance between the consequences of the measure </w:t>
      </w:r>
      <w:r w:rsidR="009642D2">
        <w:rPr>
          <w:rFonts w:ascii="Times New Roman" w:hAnsi="Times New Roman" w:cs="Times New Roman"/>
          <w:sz w:val="24"/>
          <w:szCs w:val="24"/>
          <w:lang w:val="en-CA"/>
        </w:rPr>
        <w:t xml:space="preserve">for the individual </w:t>
      </w:r>
      <w:r w:rsidR="00CA022F" w:rsidRPr="00CA022F">
        <w:rPr>
          <w:rFonts w:ascii="Times New Roman" w:hAnsi="Times New Roman" w:cs="Times New Roman"/>
          <w:sz w:val="24"/>
          <w:szCs w:val="24"/>
          <w:lang w:val="en-CA"/>
        </w:rPr>
        <w:t xml:space="preserve">and </w:t>
      </w:r>
      <w:r w:rsidR="006E7F58" w:rsidRPr="00CA022F">
        <w:rPr>
          <w:rFonts w:ascii="Times New Roman" w:hAnsi="Times New Roman" w:cs="Times New Roman"/>
          <w:sz w:val="24"/>
          <w:szCs w:val="24"/>
          <w:lang w:val="en-CA"/>
        </w:rPr>
        <w:t xml:space="preserve">the benefits of </w:t>
      </w:r>
      <w:r w:rsidR="00CA022F" w:rsidRPr="00CA022F">
        <w:rPr>
          <w:rFonts w:ascii="Times New Roman" w:hAnsi="Times New Roman" w:cs="Times New Roman"/>
          <w:sz w:val="24"/>
          <w:szCs w:val="24"/>
          <w:lang w:val="en-CA"/>
        </w:rPr>
        <w:t>it</w:t>
      </w:r>
      <w:r w:rsidR="006E7F58" w:rsidRPr="00CA022F">
        <w:rPr>
          <w:rFonts w:ascii="Times New Roman" w:hAnsi="Times New Roman" w:cs="Times New Roman"/>
          <w:sz w:val="24"/>
          <w:szCs w:val="24"/>
          <w:lang w:val="en-CA"/>
        </w:rPr>
        <w:t xml:space="preserve"> </w:t>
      </w:r>
      <w:r w:rsidR="006E5104">
        <w:rPr>
          <w:rFonts w:ascii="Times New Roman" w:hAnsi="Times New Roman" w:cs="Times New Roman"/>
          <w:sz w:val="24"/>
          <w:szCs w:val="24"/>
          <w:lang w:val="en-CA"/>
        </w:rPr>
        <w:t>for</w:t>
      </w:r>
      <w:r w:rsidR="006E7F58" w:rsidRPr="00CA022F">
        <w:rPr>
          <w:rFonts w:ascii="Times New Roman" w:hAnsi="Times New Roman" w:cs="Times New Roman"/>
          <w:sz w:val="24"/>
          <w:szCs w:val="24"/>
          <w:lang w:val="en-CA"/>
        </w:rPr>
        <w:t xml:space="preserve"> the </w:t>
      </w:r>
      <w:r w:rsidR="00CA022F" w:rsidRPr="00CA022F">
        <w:rPr>
          <w:rFonts w:ascii="Times New Roman" w:hAnsi="Times New Roman" w:cs="Times New Roman"/>
          <w:sz w:val="24"/>
          <w:szCs w:val="24"/>
          <w:lang w:val="en-CA"/>
        </w:rPr>
        <w:t>reali</w:t>
      </w:r>
      <w:r w:rsidR="009642D2">
        <w:rPr>
          <w:rFonts w:ascii="Times New Roman" w:hAnsi="Times New Roman" w:cs="Times New Roman"/>
          <w:sz w:val="24"/>
          <w:szCs w:val="24"/>
          <w:lang w:val="en-CA"/>
        </w:rPr>
        <w:t>s</w:t>
      </w:r>
      <w:r w:rsidR="00CA022F" w:rsidRPr="00CA022F">
        <w:rPr>
          <w:rFonts w:ascii="Times New Roman" w:hAnsi="Times New Roman" w:cs="Times New Roman"/>
          <w:sz w:val="24"/>
          <w:szCs w:val="24"/>
          <w:lang w:val="en-CA"/>
        </w:rPr>
        <w:t xml:space="preserve">ation of the pursued </w:t>
      </w:r>
      <w:r w:rsidR="006E7F58" w:rsidRPr="00CA022F">
        <w:rPr>
          <w:rFonts w:ascii="Times New Roman" w:hAnsi="Times New Roman" w:cs="Times New Roman"/>
          <w:sz w:val="24"/>
          <w:szCs w:val="24"/>
          <w:lang w:val="en-CA"/>
        </w:rPr>
        <w:t>aim</w:t>
      </w:r>
      <w:r w:rsidR="009642D2">
        <w:rPr>
          <w:rFonts w:ascii="Times New Roman" w:hAnsi="Times New Roman" w:cs="Times New Roman"/>
          <w:sz w:val="24"/>
          <w:szCs w:val="24"/>
          <w:lang w:val="en-CA"/>
        </w:rPr>
        <w:t xml:space="preserve">, i.e. </w:t>
      </w:r>
      <w:r w:rsidR="006E5104">
        <w:rPr>
          <w:rFonts w:ascii="Times New Roman" w:hAnsi="Times New Roman" w:cs="Times New Roman"/>
          <w:sz w:val="24"/>
          <w:szCs w:val="24"/>
          <w:lang w:val="en-CA"/>
        </w:rPr>
        <w:t>the</w:t>
      </w:r>
      <w:r w:rsidR="009642D2">
        <w:rPr>
          <w:rFonts w:ascii="Times New Roman" w:hAnsi="Times New Roman" w:cs="Times New Roman"/>
          <w:sz w:val="24"/>
          <w:szCs w:val="24"/>
          <w:lang w:val="en-CA"/>
        </w:rPr>
        <w:t xml:space="preserve"> reduction in public order </w:t>
      </w:r>
      <w:r w:rsidR="006E7F58" w:rsidRPr="00CA022F">
        <w:rPr>
          <w:rFonts w:ascii="Times New Roman" w:hAnsi="Times New Roman" w:cs="Times New Roman"/>
          <w:sz w:val="24"/>
          <w:szCs w:val="24"/>
          <w:lang w:val="en-CA"/>
        </w:rPr>
        <w:t>disturbance</w:t>
      </w:r>
      <w:r w:rsidR="009642D2">
        <w:rPr>
          <w:rFonts w:ascii="Times New Roman" w:hAnsi="Times New Roman" w:cs="Times New Roman"/>
          <w:sz w:val="24"/>
          <w:szCs w:val="24"/>
          <w:lang w:val="en-CA"/>
        </w:rPr>
        <w:t xml:space="preserve"> (a</w:t>
      </w:r>
      <w:r w:rsidR="00CA022F" w:rsidRPr="00CA022F">
        <w:rPr>
          <w:rFonts w:ascii="Times New Roman" w:hAnsi="Times New Roman" w:cs="Times New Roman"/>
          <w:sz w:val="24"/>
          <w:szCs w:val="24"/>
          <w:lang w:val="en-CA"/>
        </w:rPr>
        <w:t>lso called ‘</w:t>
      </w:r>
      <w:r w:rsidRPr="00CA022F">
        <w:rPr>
          <w:rFonts w:ascii="Times New Roman" w:hAnsi="Times New Roman" w:cs="Times New Roman"/>
          <w:sz w:val="24"/>
          <w:szCs w:val="24"/>
          <w:lang w:val="en-CA"/>
        </w:rPr>
        <w:t>pro</w:t>
      </w:r>
      <w:r w:rsidR="009642D2">
        <w:rPr>
          <w:rFonts w:ascii="Times New Roman" w:hAnsi="Times New Roman" w:cs="Times New Roman"/>
          <w:sz w:val="24"/>
          <w:szCs w:val="24"/>
          <w:lang w:val="en-CA"/>
        </w:rPr>
        <w:t xml:space="preserve">portionality </w:t>
      </w:r>
      <w:r w:rsidR="009642D2" w:rsidRPr="0023254D">
        <w:rPr>
          <w:rFonts w:ascii="Times New Roman" w:hAnsi="Times New Roman" w:cs="Times New Roman"/>
          <w:i/>
          <w:sz w:val="24"/>
          <w:szCs w:val="24"/>
          <w:lang w:val="en-CA"/>
        </w:rPr>
        <w:t>sensu stricto</w:t>
      </w:r>
      <w:r w:rsidR="00CA022F" w:rsidRPr="0023254D">
        <w:rPr>
          <w:rFonts w:ascii="Times New Roman" w:hAnsi="Times New Roman" w:cs="Times New Roman"/>
          <w:i/>
          <w:sz w:val="24"/>
          <w:szCs w:val="24"/>
          <w:lang w:val="en-CA"/>
        </w:rPr>
        <w:t>’</w:t>
      </w:r>
      <w:r w:rsidR="009642D2">
        <w:rPr>
          <w:rFonts w:ascii="Times New Roman" w:hAnsi="Times New Roman" w:cs="Times New Roman"/>
          <w:sz w:val="24"/>
          <w:szCs w:val="24"/>
          <w:lang w:val="en-CA"/>
        </w:rPr>
        <w:t>)</w:t>
      </w:r>
      <w:r w:rsidR="00CA022F" w:rsidRPr="00CA022F">
        <w:rPr>
          <w:rFonts w:ascii="Times New Roman" w:hAnsi="Times New Roman" w:cs="Times New Roman"/>
          <w:sz w:val="24"/>
          <w:szCs w:val="24"/>
          <w:lang w:val="en-CA"/>
        </w:rPr>
        <w:t>.</w:t>
      </w:r>
    </w:p>
    <w:p w14:paraId="69A756AE" w14:textId="77777777" w:rsidR="006E102C" w:rsidRPr="008655FF" w:rsidRDefault="006E102C" w:rsidP="006E102C">
      <w:pPr>
        <w:tabs>
          <w:tab w:val="left" w:pos="1701"/>
        </w:tabs>
        <w:spacing w:after="0"/>
        <w:jc w:val="both"/>
        <w:rPr>
          <w:rFonts w:ascii="Times New Roman" w:hAnsi="Times New Roman" w:cs="Times New Roman"/>
          <w:sz w:val="24"/>
          <w:szCs w:val="24"/>
          <w:lang w:val="en-CA"/>
        </w:rPr>
      </w:pPr>
    </w:p>
    <w:p w14:paraId="51CF6BE1" w14:textId="4D2B91A2" w:rsidR="001E55D5" w:rsidRDefault="006E102C" w:rsidP="006B7B50">
      <w:pPr>
        <w:tabs>
          <w:tab w:val="left" w:pos="1701"/>
        </w:tabs>
        <w:jc w:val="both"/>
        <w:rPr>
          <w:rFonts w:ascii="Times New Roman" w:hAnsi="Times New Roman" w:cs="Times New Roman"/>
          <w:sz w:val="24"/>
          <w:szCs w:val="24"/>
          <w:lang w:val="en-CA"/>
        </w:rPr>
      </w:pPr>
      <w:r w:rsidRPr="00635F03">
        <w:rPr>
          <w:rFonts w:ascii="Times New Roman" w:hAnsi="Times New Roman" w:cs="Times New Roman"/>
          <w:sz w:val="24"/>
          <w:szCs w:val="24"/>
          <w:lang w:val="en-CA"/>
        </w:rPr>
        <w:t>Following these three steps, the Council of State balances the aim of maintaining public order</w:t>
      </w:r>
      <w:r w:rsidR="004225FB">
        <w:rPr>
          <w:rFonts w:ascii="Times New Roman" w:hAnsi="Times New Roman" w:cs="Times New Roman"/>
          <w:sz w:val="24"/>
          <w:szCs w:val="24"/>
          <w:lang w:val="en-CA"/>
        </w:rPr>
        <w:t xml:space="preserve"> and </w:t>
      </w:r>
      <w:r w:rsidRPr="00635F03">
        <w:rPr>
          <w:rFonts w:ascii="Times New Roman" w:hAnsi="Times New Roman" w:cs="Times New Roman"/>
          <w:sz w:val="24"/>
          <w:szCs w:val="24"/>
          <w:lang w:val="en-CA"/>
        </w:rPr>
        <w:t xml:space="preserve">the </w:t>
      </w:r>
      <w:r w:rsidR="006E5104">
        <w:rPr>
          <w:rFonts w:ascii="Times New Roman" w:hAnsi="Times New Roman" w:cs="Times New Roman"/>
          <w:sz w:val="24"/>
          <w:szCs w:val="24"/>
          <w:lang w:val="en-CA"/>
        </w:rPr>
        <w:t>measure</w:t>
      </w:r>
      <w:r w:rsidRPr="00635F03">
        <w:rPr>
          <w:rFonts w:ascii="Times New Roman" w:hAnsi="Times New Roman" w:cs="Times New Roman"/>
          <w:sz w:val="24"/>
          <w:szCs w:val="24"/>
          <w:lang w:val="en-CA"/>
        </w:rPr>
        <w:t xml:space="preserve"> used to pursue this aim</w:t>
      </w:r>
      <w:r w:rsidR="003B6CF5">
        <w:rPr>
          <w:rFonts w:ascii="Times New Roman" w:hAnsi="Times New Roman" w:cs="Times New Roman"/>
          <w:sz w:val="24"/>
          <w:szCs w:val="24"/>
          <w:lang w:val="en-CA"/>
        </w:rPr>
        <w:t xml:space="preserve"> (the police measure</w:t>
      </w:r>
      <w:r w:rsidR="00961696">
        <w:rPr>
          <w:rFonts w:ascii="Times New Roman" w:hAnsi="Times New Roman" w:cs="Times New Roman"/>
          <w:sz w:val="24"/>
          <w:szCs w:val="24"/>
          <w:lang w:val="en-CA"/>
        </w:rPr>
        <w:t>)</w:t>
      </w:r>
      <w:r w:rsidR="009642D2">
        <w:rPr>
          <w:rFonts w:ascii="Times New Roman" w:hAnsi="Times New Roman" w:cs="Times New Roman"/>
          <w:sz w:val="24"/>
          <w:szCs w:val="24"/>
          <w:lang w:val="en-CA"/>
        </w:rPr>
        <w:t>, thus balancing means and ends</w:t>
      </w:r>
      <w:r w:rsidR="00262352">
        <w:rPr>
          <w:rFonts w:ascii="Times New Roman" w:hAnsi="Times New Roman" w:cs="Times New Roman"/>
          <w:sz w:val="24"/>
          <w:szCs w:val="24"/>
          <w:lang w:val="en-CA"/>
        </w:rPr>
        <w:t xml:space="preserve">. However, it appears from the last limb of the proportionality test above that the Council </w:t>
      </w:r>
      <w:r w:rsidR="009642D2">
        <w:rPr>
          <w:rFonts w:ascii="Times New Roman" w:hAnsi="Times New Roman" w:cs="Times New Roman"/>
          <w:sz w:val="24"/>
          <w:szCs w:val="24"/>
          <w:lang w:val="en-CA"/>
        </w:rPr>
        <w:t xml:space="preserve">also </w:t>
      </w:r>
      <w:r w:rsidR="00262352">
        <w:rPr>
          <w:rFonts w:ascii="Times New Roman" w:hAnsi="Times New Roman" w:cs="Times New Roman"/>
          <w:sz w:val="24"/>
          <w:szCs w:val="24"/>
          <w:lang w:val="en-CA"/>
        </w:rPr>
        <w:t>take</w:t>
      </w:r>
      <w:r w:rsidR="00961696">
        <w:rPr>
          <w:rFonts w:ascii="Times New Roman" w:hAnsi="Times New Roman" w:cs="Times New Roman"/>
          <w:sz w:val="24"/>
          <w:szCs w:val="24"/>
          <w:lang w:val="en-CA"/>
        </w:rPr>
        <w:t>s</w:t>
      </w:r>
      <w:r w:rsidR="00262352">
        <w:rPr>
          <w:rFonts w:ascii="Times New Roman" w:hAnsi="Times New Roman" w:cs="Times New Roman"/>
          <w:sz w:val="24"/>
          <w:szCs w:val="24"/>
          <w:lang w:val="en-CA"/>
        </w:rPr>
        <w:t xml:space="preserve"> into account the consequences of the</w:t>
      </w:r>
      <w:r w:rsidR="006E5104">
        <w:rPr>
          <w:rFonts w:ascii="Times New Roman" w:hAnsi="Times New Roman" w:cs="Times New Roman"/>
          <w:sz w:val="24"/>
          <w:szCs w:val="24"/>
          <w:lang w:val="en-CA"/>
        </w:rPr>
        <w:t xml:space="preserve"> measure</w:t>
      </w:r>
      <w:r w:rsidR="003B6CF5">
        <w:rPr>
          <w:rFonts w:ascii="Times New Roman" w:hAnsi="Times New Roman" w:cs="Times New Roman"/>
          <w:sz w:val="24"/>
          <w:szCs w:val="24"/>
          <w:lang w:val="en-CA"/>
        </w:rPr>
        <w:t xml:space="preserve"> for the individual</w:t>
      </w:r>
      <w:r w:rsidR="00262352">
        <w:rPr>
          <w:rFonts w:ascii="Times New Roman" w:hAnsi="Times New Roman" w:cs="Times New Roman"/>
          <w:sz w:val="24"/>
          <w:szCs w:val="24"/>
          <w:lang w:val="en-CA"/>
        </w:rPr>
        <w:t xml:space="preserve">, </w:t>
      </w:r>
      <w:r w:rsidR="00961696">
        <w:rPr>
          <w:rFonts w:ascii="Times New Roman" w:hAnsi="Times New Roman" w:cs="Times New Roman"/>
          <w:sz w:val="24"/>
          <w:szCs w:val="24"/>
          <w:lang w:val="en-CA"/>
        </w:rPr>
        <w:t>albeit</w:t>
      </w:r>
      <w:r w:rsidR="00262352">
        <w:rPr>
          <w:rFonts w:ascii="Times New Roman" w:hAnsi="Times New Roman" w:cs="Times New Roman"/>
          <w:sz w:val="24"/>
          <w:szCs w:val="24"/>
          <w:lang w:val="en-CA"/>
        </w:rPr>
        <w:t xml:space="preserve"> not as a decisive criterion</w:t>
      </w:r>
      <w:r w:rsidR="00CF29F9">
        <w:rPr>
          <w:rFonts w:ascii="Times New Roman" w:hAnsi="Times New Roman" w:cs="Times New Roman"/>
          <w:sz w:val="24"/>
          <w:szCs w:val="24"/>
          <w:lang w:val="en-CA"/>
        </w:rPr>
        <w:t>,</w:t>
      </w:r>
      <w:r w:rsidR="00262352">
        <w:rPr>
          <w:rFonts w:ascii="Times New Roman" w:hAnsi="Times New Roman" w:cs="Times New Roman"/>
          <w:sz w:val="24"/>
          <w:szCs w:val="24"/>
          <w:lang w:val="en-CA"/>
        </w:rPr>
        <w:t xml:space="preserve"> as mentioned above</w:t>
      </w:r>
      <w:r>
        <w:rPr>
          <w:rFonts w:ascii="Times New Roman" w:hAnsi="Times New Roman" w:cs="Times New Roman"/>
          <w:sz w:val="24"/>
          <w:szCs w:val="24"/>
          <w:lang w:val="en-CA"/>
        </w:rPr>
        <w:t xml:space="preserve">. </w:t>
      </w:r>
      <w:r w:rsidR="00CF29F9">
        <w:rPr>
          <w:rFonts w:ascii="Times New Roman" w:hAnsi="Times New Roman" w:cs="Times New Roman"/>
          <w:sz w:val="24"/>
          <w:szCs w:val="24"/>
          <w:lang w:val="en-CA"/>
        </w:rPr>
        <w:t xml:space="preserve">This third limb thus clearly constitutes an ‘aims-means-consequences’ test, which </w:t>
      </w:r>
      <w:r w:rsidR="00AF2FE6">
        <w:rPr>
          <w:rFonts w:ascii="Times New Roman" w:hAnsi="Times New Roman" w:cs="Times New Roman"/>
          <w:sz w:val="24"/>
          <w:szCs w:val="24"/>
          <w:lang w:val="en-CA"/>
        </w:rPr>
        <w:t>complies with the test mostly applied by the European Court of Human Rights</w:t>
      </w:r>
      <w:r w:rsidR="00CF29F9">
        <w:rPr>
          <w:rFonts w:ascii="Times New Roman" w:hAnsi="Times New Roman" w:cs="Times New Roman"/>
          <w:sz w:val="24"/>
          <w:szCs w:val="24"/>
          <w:lang w:val="en-CA"/>
        </w:rPr>
        <w:t xml:space="preserve">. </w:t>
      </w:r>
      <w:r w:rsidRPr="009050F0">
        <w:rPr>
          <w:rFonts w:ascii="Times New Roman" w:hAnsi="Times New Roman" w:cs="Times New Roman"/>
          <w:sz w:val="24"/>
          <w:szCs w:val="24"/>
          <w:lang w:val="en-CA"/>
        </w:rPr>
        <w:t>However, the Council of State does not</w:t>
      </w:r>
      <w:r>
        <w:rPr>
          <w:rFonts w:ascii="Times New Roman" w:hAnsi="Times New Roman" w:cs="Times New Roman"/>
          <w:sz w:val="24"/>
          <w:szCs w:val="24"/>
          <w:lang w:val="en-CA"/>
        </w:rPr>
        <w:t xml:space="preserve"> always</w:t>
      </w:r>
      <w:r w:rsidR="0014322A">
        <w:rPr>
          <w:rFonts w:ascii="Times New Roman" w:hAnsi="Times New Roman" w:cs="Times New Roman"/>
          <w:sz w:val="24"/>
          <w:szCs w:val="24"/>
          <w:lang w:val="en-CA"/>
        </w:rPr>
        <w:t xml:space="preserve"> follow this three-step method</w:t>
      </w:r>
      <w:r>
        <w:rPr>
          <w:rFonts w:ascii="Times New Roman" w:hAnsi="Times New Roman" w:cs="Times New Roman"/>
          <w:sz w:val="24"/>
          <w:szCs w:val="24"/>
          <w:lang w:val="en-CA"/>
        </w:rPr>
        <w:t>. Especially with regard to restrictions of the freedom of trade caused by a local regulation or by an individual decision based on a local regulation</w:t>
      </w:r>
      <w:r w:rsidR="009642D2">
        <w:rPr>
          <w:rFonts w:ascii="Times New Roman" w:hAnsi="Times New Roman" w:cs="Times New Roman"/>
          <w:sz w:val="24"/>
          <w:szCs w:val="24"/>
          <w:lang w:val="en-CA"/>
        </w:rPr>
        <w:t>,</w:t>
      </w:r>
      <w:r>
        <w:rPr>
          <w:rFonts w:ascii="Times New Roman" w:hAnsi="Times New Roman" w:cs="Times New Roman"/>
          <w:sz w:val="24"/>
          <w:szCs w:val="24"/>
          <w:lang w:val="en-CA"/>
        </w:rPr>
        <w:t xml:space="preserve"> the </w:t>
      </w:r>
      <w:r w:rsidR="00961696">
        <w:rPr>
          <w:rFonts w:ascii="Times New Roman" w:hAnsi="Times New Roman" w:cs="Times New Roman"/>
          <w:sz w:val="24"/>
          <w:szCs w:val="24"/>
          <w:lang w:val="en-CA"/>
        </w:rPr>
        <w:t>Council</w:t>
      </w:r>
      <w:r>
        <w:rPr>
          <w:rFonts w:ascii="Times New Roman" w:hAnsi="Times New Roman" w:cs="Times New Roman"/>
          <w:sz w:val="24"/>
          <w:szCs w:val="24"/>
          <w:lang w:val="en-CA"/>
        </w:rPr>
        <w:t xml:space="preserve"> </w:t>
      </w:r>
      <w:r w:rsidR="00411137">
        <w:rPr>
          <w:rFonts w:ascii="Times New Roman" w:hAnsi="Times New Roman" w:cs="Times New Roman"/>
          <w:sz w:val="24"/>
          <w:szCs w:val="24"/>
          <w:lang w:val="en-CA"/>
        </w:rPr>
        <w:t>seems to</w:t>
      </w:r>
      <w:r>
        <w:rPr>
          <w:rFonts w:ascii="Times New Roman" w:hAnsi="Times New Roman" w:cs="Times New Roman"/>
          <w:sz w:val="24"/>
          <w:szCs w:val="24"/>
          <w:lang w:val="en-CA"/>
        </w:rPr>
        <w:t xml:space="preserve"> apply these three questions</w:t>
      </w:r>
      <w:r w:rsidR="00411137">
        <w:rPr>
          <w:rStyle w:val="Odwoanieprzypisudolnego"/>
          <w:rFonts w:ascii="Times New Roman" w:hAnsi="Times New Roman" w:cs="Times New Roman"/>
          <w:sz w:val="24"/>
          <w:szCs w:val="24"/>
          <w:lang w:val="en-CA"/>
        </w:rPr>
        <w:footnoteReference w:id="78"/>
      </w:r>
      <w:r>
        <w:rPr>
          <w:rFonts w:ascii="Times New Roman" w:hAnsi="Times New Roman" w:cs="Times New Roman"/>
          <w:sz w:val="24"/>
          <w:szCs w:val="24"/>
          <w:lang w:val="en-CA"/>
        </w:rPr>
        <w:t xml:space="preserve">. </w:t>
      </w:r>
    </w:p>
    <w:p w14:paraId="506F68B7" w14:textId="161835DC" w:rsidR="000E2F89" w:rsidRPr="00F72E3A" w:rsidRDefault="00A7741E" w:rsidP="006B7B50">
      <w:pPr>
        <w:tabs>
          <w:tab w:val="left" w:pos="1701"/>
        </w:tabs>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In </w:t>
      </w:r>
      <w:r w:rsidR="006E102C">
        <w:rPr>
          <w:rFonts w:ascii="Times New Roman" w:hAnsi="Times New Roman" w:cs="Times New Roman"/>
          <w:sz w:val="24"/>
          <w:szCs w:val="24"/>
          <w:lang w:val="en-CA"/>
        </w:rPr>
        <w:t xml:space="preserve">cases </w:t>
      </w:r>
      <w:r>
        <w:rPr>
          <w:rFonts w:ascii="Times New Roman" w:hAnsi="Times New Roman" w:cs="Times New Roman"/>
          <w:sz w:val="24"/>
          <w:szCs w:val="24"/>
          <w:lang w:val="en-CA"/>
        </w:rPr>
        <w:t>not concerning the right to free trade</w:t>
      </w:r>
      <w:r w:rsidR="00AF2FE6">
        <w:rPr>
          <w:rFonts w:ascii="Times New Roman" w:hAnsi="Times New Roman" w:cs="Times New Roman"/>
          <w:sz w:val="24"/>
          <w:szCs w:val="24"/>
          <w:lang w:val="en-CA"/>
        </w:rPr>
        <w:t>,</w:t>
      </w:r>
      <w:r>
        <w:rPr>
          <w:rFonts w:ascii="Times New Roman" w:hAnsi="Times New Roman" w:cs="Times New Roman"/>
          <w:sz w:val="24"/>
          <w:szCs w:val="24"/>
          <w:lang w:val="en-CA"/>
        </w:rPr>
        <w:t xml:space="preserve"> </w:t>
      </w:r>
      <w:r w:rsidR="006E102C">
        <w:rPr>
          <w:rFonts w:ascii="Times New Roman" w:hAnsi="Times New Roman" w:cs="Times New Roman"/>
          <w:sz w:val="24"/>
          <w:szCs w:val="24"/>
          <w:lang w:val="en-CA"/>
        </w:rPr>
        <w:t>the Council</w:t>
      </w:r>
      <w:r w:rsidR="009642D2">
        <w:rPr>
          <w:rFonts w:ascii="Times New Roman" w:hAnsi="Times New Roman" w:cs="Times New Roman"/>
          <w:sz w:val="24"/>
          <w:szCs w:val="24"/>
          <w:lang w:val="en-CA"/>
        </w:rPr>
        <w:t xml:space="preserve"> of State</w:t>
      </w:r>
      <w:r w:rsidR="006E102C">
        <w:rPr>
          <w:rFonts w:ascii="Times New Roman" w:hAnsi="Times New Roman" w:cs="Times New Roman"/>
          <w:sz w:val="24"/>
          <w:szCs w:val="24"/>
          <w:lang w:val="en-CA"/>
        </w:rPr>
        <w:t xml:space="preserve"> limits its </w:t>
      </w:r>
      <w:r w:rsidR="0051666C">
        <w:rPr>
          <w:rFonts w:ascii="Times New Roman" w:hAnsi="Times New Roman" w:cs="Times New Roman"/>
          <w:sz w:val="24"/>
          <w:szCs w:val="24"/>
          <w:lang w:val="en-CA"/>
        </w:rPr>
        <w:t>review</w:t>
      </w:r>
      <w:r w:rsidR="006E102C">
        <w:rPr>
          <w:rFonts w:ascii="Times New Roman" w:hAnsi="Times New Roman" w:cs="Times New Roman"/>
          <w:sz w:val="24"/>
          <w:szCs w:val="24"/>
          <w:lang w:val="en-CA"/>
        </w:rPr>
        <w:t xml:space="preserve"> to the question whether the imposed measure </w:t>
      </w:r>
      <w:r w:rsidR="009642D2">
        <w:rPr>
          <w:rFonts w:ascii="Times New Roman" w:hAnsi="Times New Roman" w:cs="Times New Roman"/>
          <w:sz w:val="24"/>
          <w:szCs w:val="24"/>
          <w:lang w:val="en-CA"/>
        </w:rPr>
        <w:t>‘</w:t>
      </w:r>
      <w:r w:rsidR="006E102C">
        <w:rPr>
          <w:rFonts w:ascii="Times New Roman" w:hAnsi="Times New Roman" w:cs="Times New Roman"/>
          <w:sz w:val="24"/>
          <w:szCs w:val="24"/>
          <w:lang w:val="en-CA"/>
        </w:rPr>
        <w:t xml:space="preserve">does not go further than necessary from a view point </w:t>
      </w:r>
      <w:r w:rsidR="006E102C">
        <w:rPr>
          <w:rFonts w:ascii="Times New Roman" w:hAnsi="Times New Roman" w:cs="Times New Roman"/>
          <w:sz w:val="24"/>
          <w:szCs w:val="24"/>
          <w:lang w:val="en-CA"/>
        </w:rPr>
        <w:lastRenderedPageBreak/>
        <w:t>of maintaining public order</w:t>
      </w:r>
      <w:r w:rsidR="009642D2">
        <w:rPr>
          <w:rFonts w:ascii="Times New Roman" w:hAnsi="Times New Roman" w:cs="Times New Roman"/>
          <w:sz w:val="24"/>
          <w:szCs w:val="24"/>
          <w:lang w:val="en-CA"/>
        </w:rPr>
        <w:t>’</w:t>
      </w:r>
      <w:r w:rsidR="006E102C" w:rsidRPr="0098606C">
        <w:rPr>
          <w:rStyle w:val="Odwoanieprzypisudolnego"/>
          <w:rFonts w:ascii="Times New Roman" w:hAnsi="Times New Roman" w:cs="Times New Roman"/>
          <w:sz w:val="24"/>
          <w:szCs w:val="24"/>
        </w:rPr>
        <w:footnoteReference w:id="79"/>
      </w:r>
      <w:r w:rsidR="006E102C" w:rsidRPr="006C0A77">
        <w:rPr>
          <w:rFonts w:ascii="Times New Roman" w:hAnsi="Times New Roman" w:cs="Times New Roman"/>
          <w:sz w:val="24"/>
          <w:szCs w:val="24"/>
          <w:lang w:val="en-CA"/>
        </w:rPr>
        <w:t xml:space="preserve">. </w:t>
      </w:r>
      <w:r w:rsidR="00E22EA7">
        <w:rPr>
          <w:rFonts w:ascii="Times New Roman" w:hAnsi="Times New Roman" w:cs="Times New Roman"/>
          <w:sz w:val="24"/>
          <w:szCs w:val="24"/>
          <w:lang w:val="en-CA"/>
        </w:rPr>
        <w:t>This means that the</w:t>
      </w:r>
      <w:r w:rsidR="006E102C" w:rsidRPr="006C0A77">
        <w:rPr>
          <w:rFonts w:ascii="Times New Roman" w:hAnsi="Times New Roman" w:cs="Times New Roman"/>
          <w:sz w:val="24"/>
          <w:szCs w:val="24"/>
          <w:lang w:val="en-CA"/>
        </w:rPr>
        <w:t xml:space="preserve"> imposed measure may not </w:t>
      </w:r>
      <w:r w:rsidR="006E5104">
        <w:rPr>
          <w:rFonts w:ascii="Times New Roman" w:hAnsi="Times New Roman" w:cs="Times New Roman"/>
          <w:sz w:val="24"/>
          <w:szCs w:val="24"/>
          <w:lang w:val="en-CA"/>
        </w:rPr>
        <w:t>cause more harm to the</w:t>
      </w:r>
      <w:r w:rsidR="006E102C">
        <w:rPr>
          <w:rFonts w:ascii="Times New Roman" w:hAnsi="Times New Roman" w:cs="Times New Roman"/>
          <w:sz w:val="24"/>
          <w:szCs w:val="24"/>
          <w:lang w:val="en-CA"/>
        </w:rPr>
        <w:t xml:space="preserve"> individual than necessary </w:t>
      </w:r>
      <w:r w:rsidR="009642D2">
        <w:rPr>
          <w:rFonts w:ascii="Times New Roman" w:hAnsi="Times New Roman" w:cs="Times New Roman"/>
          <w:sz w:val="24"/>
          <w:szCs w:val="24"/>
          <w:lang w:val="en-CA"/>
        </w:rPr>
        <w:t>for the realis</w:t>
      </w:r>
      <w:r w:rsidR="006E5104">
        <w:rPr>
          <w:rFonts w:ascii="Times New Roman" w:hAnsi="Times New Roman" w:cs="Times New Roman"/>
          <w:sz w:val="24"/>
          <w:szCs w:val="24"/>
          <w:lang w:val="en-CA"/>
        </w:rPr>
        <w:t>ation of the pursued aim</w:t>
      </w:r>
      <w:r w:rsidR="00FA0875">
        <w:rPr>
          <w:rFonts w:ascii="Times New Roman" w:hAnsi="Times New Roman" w:cs="Times New Roman"/>
          <w:sz w:val="24"/>
          <w:szCs w:val="24"/>
          <w:lang w:val="en-CA"/>
        </w:rPr>
        <w:t xml:space="preserve">, thus </w:t>
      </w:r>
      <w:r w:rsidR="00FA0875" w:rsidRPr="00FD7096">
        <w:rPr>
          <w:rFonts w:ascii="Times New Roman" w:hAnsi="Times New Roman" w:cs="Times New Roman"/>
          <w:sz w:val="24"/>
          <w:szCs w:val="24"/>
          <w:lang w:val="en-US"/>
        </w:rPr>
        <w:t xml:space="preserve">balancing the means and ends </w:t>
      </w:r>
      <w:r w:rsidR="00FA0875">
        <w:rPr>
          <w:rFonts w:ascii="Times New Roman" w:hAnsi="Times New Roman" w:cs="Times New Roman"/>
          <w:sz w:val="24"/>
          <w:szCs w:val="24"/>
          <w:lang w:val="en-US"/>
        </w:rPr>
        <w:t>against the means and their consequences for the individual.</w:t>
      </w:r>
      <w:r w:rsidR="006B7B50">
        <w:rPr>
          <w:rFonts w:ascii="Times New Roman" w:hAnsi="Times New Roman" w:cs="Times New Roman"/>
          <w:sz w:val="24"/>
          <w:szCs w:val="24"/>
          <w:lang w:val="en-CA"/>
        </w:rPr>
        <w:t xml:space="preserve"> </w:t>
      </w:r>
      <w:r w:rsidR="00216D5D">
        <w:rPr>
          <w:rFonts w:ascii="Times New Roman" w:hAnsi="Times New Roman" w:cs="Times New Roman"/>
          <w:sz w:val="24"/>
          <w:szCs w:val="24"/>
          <w:lang w:val="en-CA"/>
        </w:rPr>
        <w:t>T</w:t>
      </w:r>
      <w:r w:rsidR="0061065B" w:rsidRPr="00206D7D">
        <w:rPr>
          <w:rFonts w:ascii="Times New Roman" w:hAnsi="Times New Roman" w:cs="Times New Roman"/>
          <w:sz w:val="24"/>
          <w:szCs w:val="24"/>
          <w:lang w:val="en-CA"/>
        </w:rPr>
        <w:t>he</w:t>
      </w:r>
      <w:r w:rsidRPr="00206D7D">
        <w:rPr>
          <w:rFonts w:ascii="Times New Roman" w:hAnsi="Times New Roman" w:cs="Times New Roman"/>
          <w:sz w:val="24"/>
          <w:szCs w:val="24"/>
          <w:lang w:val="en-CA"/>
        </w:rPr>
        <w:t xml:space="preserve"> prohibition</w:t>
      </w:r>
      <w:r w:rsidR="00961696" w:rsidRPr="00206D7D">
        <w:rPr>
          <w:rFonts w:ascii="Times New Roman" w:hAnsi="Times New Roman" w:cs="Times New Roman"/>
          <w:sz w:val="24"/>
          <w:szCs w:val="24"/>
          <w:lang w:val="en-CA"/>
        </w:rPr>
        <w:t xml:space="preserve"> </w:t>
      </w:r>
      <w:r w:rsidR="0061065B" w:rsidRPr="00206D7D">
        <w:rPr>
          <w:rFonts w:ascii="Times New Roman" w:hAnsi="Times New Roman" w:cs="Times New Roman"/>
          <w:sz w:val="24"/>
          <w:szCs w:val="24"/>
          <w:lang w:val="en-CA"/>
        </w:rPr>
        <w:t>of place</w:t>
      </w:r>
      <w:r w:rsidR="006B7B50">
        <w:rPr>
          <w:rFonts w:ascii="Times New Roman" w:hAnsi="Times New Roman" w:cs="Times New Roman"/>
          <w:sz w:val="24"/>
          <w:szCs w:val="24"/>
          <w:lang w:val="en-CA"/>
        </w:rPr>
        <w:t>, for instance,</w:t>
      </w:r>
      <w:r w:rsidR="0061065B" w:rsidRPr="00206D7D">
        <w:rPr>
          <w:rFonts w:ascii="Times New Roman" w:hAnsi="Times New Roman" w:cs="Times New Roman"/>
          <w:sz w:val="24"/>
          <w:szCs w:val="24"/>
          <w:lang w:val="en-CA"/>
        </w:rPr>
        <w:t xml:space="preserve"> </w:t>
      </w:r>
      <w:r w:rsidR="006E102C" w:rsidRPr="00206D7D">
        <w:rPr>
          <w:rFonts w:ascii="Times New Roman" w:hAnsi="Times New Roman" w:cs="Times New Roman"/>
          <w:sz w:val="24"/>
          <w:szCs w:val="24"/>
          <w:lang w:val="en-CA"/>
        </w:rPr>
        <w:t xml:space="preserve">is to be </w:t>
      </w:r>
      <w:r w:rsidR="00961696" w:rsidRPr="00206D7D">
        <w:rPr>
          <w:rFonts w:ascii="Times New Roman" w:hAnsi="Times New Roman" w:cs="Times New Roman"/>
          <w:sz w:val="24"/>
          <w:szCs w:val="24"/>
          <w:lang w:val="en-CA"/>
        </w:rPr>
        <w:t>primarily understood</w:t>
      </w:r>
      <w:r w:rsidR="006E102C" w:rsidRPr="00206D7D">
        <w:rPr>
          <w:rFonts w:ascii="Times New Roman" w:hAnsi="Times New Roman" w:cs="Times New Roman"/>
          <w:sz w:val="24"/>
          <w:szCs w:val="24"/>
          <w:lang w:val="en-CA"/>
        </w:rPr>
        <w:t xml:space="preserve"> as a restriction of the right to </w:t>
      </w:r>
      <w:r w:rsidR="006E102C" w:rsidRPr="004225FB">
        <w:rPr>
          <w:rFonts w:ascii="Times New Roman" w:hAnsi="Times New Roman" w:cs="Times New Roman"/>
          <w:sz w:val="24"/>
          <w:szCs w:val="24"/>
          <w:lang w:val="en-CA"/>
        </w:rPr>
        <w:t xml:space="preserve">freedom of movement </w:t>
      </w:r>
      <w:r w:rsidR="00961696" w:rsidRPr="004225FB">
        <w:rPr>
          <w:rFonts w:ascii="Times New Roman" w:hAnsi="Times New Roman" w:cs="Times New Roman"/>
          <w:sz w:val="24"/>
          <w:szCs w:val="24"/>
          <w:lang w:val="en-CA"/>
        </w:rPr>
        <w:t>and not</w:t>
      </w:r>
      <w:r w:rsidR="006E102C" w:rsidRPr="004225FB">
        <w:rPr>
          <w:rFonts w:ascii="Times New Roman" w:hAnsi="Times New Roman" w:cs="Times New Roman"/>
          <w:sz w:val="24"/>
          <w:szCs w:val="24"/>
          <w:lang w:val="en-CA"/>
        </w:rPr>
        <w:t xml:space="preserve"> the right to free trade</w:t>
      </w:r>
      <w:r w:rsidR="00216D5D">
        <w:rPr>
          <w:rFonts w:ascii="Times New Roman" w:hAnsi="Times New Roman" w:cs="Times New Roman"/>
          <w:sz w:val="24"/>
          <w:szCs w:val="24"/>
          <w:lang w:val="en-CA"/>
        </w:rPr>
        <w:t>. By consequence,</w:t>
      </w:r>
      <w:r w:rsidR="006E102C" w:rsidRPr="004225FB">
        <w:rPr>
          <w:rFonts w:ascii="Times New Roman" w:hAnsi="Times New Roman" w:cs="Times New Roman"/>
          <w:sz w:val="24"/>
          <w:szCs w:val="24"/>
          <w:lang w:val="en-CA"/>
        </w:rPr>
        <w:t xml:space="preserve"> </w:t>
      </w:r>
      <w:r w:rsidR="0061065B" w:rsidRPr="004225FB">
        <w:rPr>
          <w:rFonts w:ascii="Times New Roman" w:hAnsi="Times New Roman" w:cs="Times New Roman"/>
          <w:sz w:val="24"/>
          <w:szCs w:val="24"/>
          <w:lang w:val="en-CA"/>
        </w:rPr>
        <w:t xml:space="preserve">it </w:t>
      </w:r>
      <w:r w:rsidR="00AF2FE6">
        <w:rPr>
          <w:rFonts w:ascii="Times New Roman" w:hAnsi="Times New Roman" w:cs="Times New Roman"/>
          <w:sz w:val="24"/>
          <w:szCs w:val="24"/>
          <w:lang w:val="en-CA"/>
        </w:rPr>
        <w:t>may</w:t>
      </w:r>
      <w:r w:rsidR="0061065B" w:rsidRPr="004225FB">
        <w:rPr>
          <w:rFonts w:ascii="Times New Roman" w:hAnsi="Times New Roman" w:cs="Times New Roman"/>
          <w:sz w:val="24"/>
          <w:szCs w:val="24"/>
          <w:lang w:val="en-CA"/>
        </w:rPr>
        <w:t xml:space="preserve"> be possible</w:t>
      </w:r>
      <w:r w:rsidR="006E102C" w:rsidRPr="004225FB">
        <w:rPr>
          <w:rFonts w:ascii="Times New Roman" w:hAnsi="Times New Roman" w:cs="Times New Roman"/>
          <w:sz w:val="24"/>
          <w:szCs w:val="24"/>
          <w:lang w:val="en-CA"/>
        </w:rPr>
        <w:t xml:space="preserve"> that the Council of</w:t>
      </w:r>
      <w:r w:rsidR="006E102C" w:rsidRPr="00206D7D">
        <w:rPr>
          <w:rFonts w:ascii="Times New Roman" w:hAnsi="Times New Roman" w:cs="Times New Roman"/>
          <w:sz w:val="24"/>
          <w:szCs w:val="24"/>
          <w:lang w:val="en-CA"/>
        </w:rPr>
        <w:t xml:space="preserve"> State will </w:t>
      </w:r>
      <w:r w:rsidR="00FA0875">
        <w:rPr>
          <w:rFonts w:ascii="Times New Roman" w:hAnsi="Times New Roman" w:cs="Times New Roman"/>
          <w:sz w:val="24"/>
          <w:szCs w:val="24"/>
          <w:lang w:val="en-CA"/>
        </w:rPr>
        <w:t xml:space="preserve">not apply the three above-mentioned questions, but will </w:t>
      </w:r>
      <w:r w:rsidR="006E102C" w:rsidRPr="00206D7D">
        <w:rPr>
          <w:rFonts w:ascii="Times New Roman" w:hAnsi="Times New Roman" w:cs="Times New Roman"/>
          <w:sz w:val="24"/>
          <w:szCs w:val="24"/>
          <w:lang w:val="en-CA"/>
        </w:rPr>
        <w:t xml:space="preserve">only </w:t>
      </w:r>
      <w:r w:rsidRPr="00206D7D">
        <w:rPr>
          <w:rFonts w:ascii="Times New Roman" w:hAnsi="Times New Roman" w:cs="Times New Roman"/>
          <w:sz w:val="24"/>
          <w:szCs w:val="24"/>
          <w:lang w:val="en-CA"/>
        </w:rPr>
        <w:t xml:space="preserve">assess </w:t>
      </w:r>
      <w:r w:rsidR="00AF2FE6">
        <w:rPr>
          <w:rFonts w:ascii="Times New Roman" w:hAnsi="Times New Roman" w:cs="Times New Roman"/>
          <w:sz w:val="24"/>
          <w:szCs w:val="24"/>
          <w:lang w:val="en-CA"/>
        </w:rPr>
        <w:t>whether</w:t>
      </w:r>
      <w:r w:rsidR="000E2F89">
        <w:rPr>
          <w:rFonts w:ascii="Times New Roman" w:hAnsi="Times New Roman" w:cs="Times New Roman"/>
          <w:sz w:val="24"/>
          <w:szCs w:val="24"/>
          <w:lang w:val="en-CA"/>
        </w:rPr>
        <w:t xml:space="preserve"> t</w:t>
      </w:r>
      <w:r w:rsidR="000E2F89" w:rsidRPr="00206D7D">
        <w:rPr>
          <w:rFonts w:ascii="Times New Roman" w:hAnsi="Times New Roman" w:cs="Times New Roman"/>
          <w:sz w:val="24"/>
          <w:szCs w:val="24"/>
          <w:lang w:val="en-CA"/>
        </w:rPr>
        <w:t>he imposed prohibition of place stand</w:t>
      </w:r>
      <w:r w:rsidR="00FA0875">
        <w:rPr>
          <w:rFonts w:ascii="Times New Roman" w:hAnsi="Times New Roman" w:cs="Times New Roman"/>
          <w:sz w:val="24"/>
          <w:szCs w:val="24"/>
          <w:lang w:val="en-CA"/>
        </w:rPr>
        <w:t>s</w:t>
      </w:r>
      <w:r w:rsidR="000E2F89" w:rsidRPr="00206D7D">
        <w:rPr>
          <w:rFonts w:ascii="Times New Roman" w:hAnsi="Times New Roman" w:cs="Times New Roman"/>
          <w:sz w:val="24"/>
          <w:szCs w:val="24"/>
          <w:lang w:val="en-CA"/>
        </w:rPr>
        <w:t xml:space="preserve"> in fair proportion to the public order aim</w:t>
      </w:r>
      <w:r w:rsidR="00FA0875">
        <w:rPr>
          <w:rFonts w:ascii="Times New Roman" w:hAnsi="Times New Roman" w:cs="Times New Roman"/>
          <w:sz w:val="24"/>
          <w:szCs w:val="24"/>
          <w:lang w:val="en-CA"/>
        </w:rPr>
        <w:t xml:space="preserve"> (</w:t>
      </w:r>
      <w:r w:rsidR="006B7B50">
        <w:rPr>
          <w:rFonts w:ascii="Times New Roman" w:hAnsi="Times New Roman" w:cs="Times New Roman"/>
          <w:sz w:val="24"/>
          <w:szCs w:val="24"/>
          <w:lang w:val="en-CA"/>
        </w:rPr>
        <w:t xml:space="preserve">i.e. tackling the </w:t>
      </w:r>
      <w:r w:rsidR="006B7B50" w:rsidRPr="00206D7D">
        <w:rPr>
          <w:rFonts w:ascii="Times New Roman" w:hAnsi="Times New Roman" w:cs="Times New Roman"/>
          <w:sz w:val="24"/>
          <w:szCs w:val="24"/>
          <w:lang w:val="en-CA"/>
        </w:rPr>
        <w:t xml:space="preserve">public order disturbance in the </w:t>
      </w:r>
      <w:r w:rsidR="006B7B50">
        <w:rPr>
          <w:rFonts w:ascii="Times New Roman" w:hAnsi="Times New Roman" w:cs="Times New Roman"/>
          <w:sz w:val="24"/>
          <w:szCs w:val="24"/>
          <w:lang w:val="en-CA"/>
        </w:rPr>
        <w:t>area concerned</w:t>
      </w:r>
      <w:r w:rsidR="00FA0875">
        <w:rPr>
          <w:rFonts w:ascii="Times New Roman" w:hAnsi="Times New Roman" w:cs="Times New Roman"/>
          <w:sz w:val="24"/>
          <w:szCs w:val="24"/>
          <w:lang w:val="en-CA"/>
        </w:rPr>
        <w:t>)</w:t>
      </w:r>
      <w:r w:rsidR="006B7B50">
        <w:rPr>
          <w:rFonts w:ascii="Times New Roman" w:hAnsi="Times New Roman" w:cs="Times New Roman"/>
          <w:sz w:val="24"/>
          <w:szCs w:val="24"/>
          <w:lang w:val="en-CA"/>
        </w:rPr>
        <w:t xml:space="preserve">, </w:t>
      </w:r>
      <w:r w:rsidR="000E2F89" w:rsidRPr="00206D7D">
        <w:rPr>
          <w:rFonts w:ascii="Times New Roman" w:hAnsi="Times New Roman" w:cs="Times New Roman"/>
          <w:sz w:val="24"/>
          <w:szCs w:val="24"/>
          <w:lang w:val="en-CA"/>
        </w:rPr>
        <w:t>taking into account the consequences of the prohibition for the individual’s free movement, albeit not as a conclusive element</w:t>
      </w:r>
      <w:r w:rsidR="006B7B50">
        <w:rPr>
          <w:rFonts w:ascii="Times New Roman" w:hAnsi="Times New Roman" w:cs="Times New Roman"/>
          <w:sz w:val="24"/>
          <w:szCs w:val="24"/>
          <w:lang w:val="en-CA"/>
        </w:rPr>
        <w:t xml:space="preserve">. </w:t>
      </w:r>
    </w:p>
    <w:p w14:paraId="5BABAC6E" w14:textId="77777777" w:rsidR="00206D7D" w:rsidRPr="00F72E3A" w:rsidRDefault="00206D7D" w:rsidP="00206D7D">
      <w:pPr>
        <w:spacing w:after="160"/>
        <w:jc w:val="both"/>
        <w:rPr>
          <w:rFonts w:ascii="Times New Roman" w:hAnsi="Times New Roman" w:cs="Times New Roman"/>
          <w:sz w:val="24"/>
          <w:szCs w:val="24"/>
          <w:lang w:val="en-CA"/>
        </w:rPr>
      </w:pPr>
    </w:p>
    <w:p w14:paraId="5D7C1542" w14:textId="77777777" w:rsidR="002D3A5A" w:rsidRPr="00206D7D" w:rsidRDefault="00552FDB" w:rsidP="00D8481D">
      <w:pPr>
        <w:rPr>
          <w:i/>
          <w:sz w:val="24"/>
          <w:szCs w:val="24"/>
          <w:u w:val="single"/>
          <w:lang w:val="en-US"/>
        </w:rPr>
      </w:pPr>
      <w:bookmarkStart w:id="11" w:name="_Toc453965901"/>
      <w:r w:rsidRPr="00206D7D">
        <w:rPr>
          <w:i/>
          <w:sz w:val="24"/>
          <w:szCs w:val="24"/>
          <w:u w:val="single"/>
          <w:lang w:val="en-US"/>
        </w:rPr>
        <w:t>Temporary prohibition of place as an administrative sanction</w:t>
      </w:r>
      <w:bookmarkEnd w:id="11"/>
    </w:p>
    <w:p w14:paraId="1CFA68BE" w14:textId="26A3A939" w:rsidR="008F07B6" w:rsidRDefault="0051666C" w:rsidP="008F07B6">
      <w:pPr>
        <w:jc w:val="both"/>
        <w:rPr>
          <w:rFonts w:ascii="Times New Roman" w:hAnsi="Times New Roman" w:cs="Times New Roman"/>
          <w:sz w:val="24"/>
          <w:szCs w:val="24"/>
          <w:highlight w:val="yellow"/>
          <w:lang w:val="en-CA"/>
        </w:rPr>
      </w:pPr>
      <w:r>
        <w:rPr>
          <w:rFonts w:ascii="Times New Roman" w:hAnsi="Times New Roman" w:cs="Times New Roman"/>
          <w:sz w:val="24"/>
          <w:szCs w:val="24"/>
          <w:lang w:val="en-CA"/>
        </w:rPr>
        <w:t>It</w:t>
      </w:r>
      <w:r w:rsidR="006E27CB">
        <w:rPr>
          <w:rFonts w:ascii="Times New Roman" w:hAnsi="Times New Roman" w:cs="Times New Roman"/>
          <w:sz w:val="24"/>
          <w:szCs w:val="24"/>
          <w:lang w:val="en-CA"/>
        </w:rPr>
        <w:t xml:space="preserve"> </w:t>
      </w:r>
      <w:r w:rsidR="009642D2">
        <w:rPr>
          <w:rFonts w:ascii="Times New Roman" w:hAnsi="Times New Roman" w:cs="Times New Roman"/>
          <w:sz w:val="24"/>
          <w:szCs w:val="24"/>
          <w:lang w:val="en-CA"/>
        </w:rPr>
        <w:t>is conceivable</w:t>
      </w:r>
      <w:r w:rsidR="006E27CB">
        <w:rPr>
          <w:rFonts w:ascii="Times New Roman" w:hAnsi="Times New Roman" w:cs="Times New Roman"/>
          <w:sz w:val="24"/>
          <w:szCs w:val="24"/>
          <w:lang w:val="en-CA"/>
        </w:rPr>
        <w:t xml:space="preserve"> that</w:t>
      </w:r>
      <w:r w:rsidR="00E44ECB">
        <w:rPr>
          <w:rFonts w:ascii="Times New Roman" w:hAnsi="Times New Roman" w:cs="Times New Roman"/>
          <w:sz w:val="24"/>
          <w:szCs w:val="24"/>
          <w:lang w:val="en-CA"/>
        </w:rPr>
        <w:t>,</w:t>
      </w:r>
      <w:r w:rsidR="006E27CB">
        <w:rPr>
          <w:rFonts w:ascii="Times New Roman" w:hAnsi="Times New Roman" w:cs="Times New Roman"/>
          <w:sz w:val="24"/>
          <w:szCs w:val="24"/>
          <w:lang w:val="en-CA"/>
        </w:rPr>
        <w:t xml:space="preserve"> </w:t>
      </w:r>
      <w:r w:rsidR="00E44ECB">
        <w:rPr>
          <w:rFonts w:ascii="Times New Roman" w:hAnsi="Times New Roman" w:cs="Times New Roman"/>
          <w:sz w:val="24"/>
          <w:szCs w:val="24"/>
          <w:lang w:val="en-CA"/>
        </w:rPr>
        <w:t xml:space="preserve">in a specific case, </w:t>
      </w:r>
      <w:r w:rsidR="006E27CB">
        <w:rPr>
          <w:rFonts w:ascii="Times New Roman" w:hAnsi="Times New Roman" w:cs="Times New Roman"/>
          <w:sz w:val="24"/>
          <w:szCs w:val="24"/>
          <w:lang w:val="en-CA"/>
        </w:rPr>
        <w:t xml:space="preserve">the Council of State </w:t>
      </w:r>
      <w:r w:rsidR="009642D2">
        <w:rPr>
          <w:rFonts w:ascii="Times New Roman" w:hAnsi="Times New Roman" w:cs="Times New Roman"/>
          <w:sz w:val="24"/>
          <w:szCs w:val="24"/>
          <w:lang w:val="en-CA"/>
        </w:rPr>
        <w:t>considers</w:t>
      </w:r>
      <w:r w:rsidR="006E27CB">
        <w:rPr>
          <w:rFonts w:ascii="Times New Roman" w:hAnsi="Times New Roman" w:cs="Times New Roman"/>
          <w:sz w:val="24"/>
          <w:szCs w:val="24"/>
          <w:lang w:val="en-CA"/>
        </w:rPr>
        <w:t xml:space="preserve"> that t</w:t>
      </w:r>
      <w:r w:rsidR="009642D2">
        <w:rPr>
          <w:rFonts w:ascii="Times New Roman" w:hAnsi="Times New Roman" w:cs="Times New Roman"/>
          <w:sz w:val="24"/>
          <w:szCs w:val="24"/>
          <w:lang w:val="en-CA"/>
        </w:rPr>
        <w:t>he imposed prohibition of place</w:t>
      </w:r>
      <w:r>
        <w:rPr>
          <w:rFonts w:ascii="Times New Roman" w:hAnsi="Times New Roman" w:cs="Times New Roman"/>
          <w:sz w:val="24"/>
          <w:szCs w:val="24"/>
          <w:lang w:val="en-CA"/>
        </w:rPr>
        <w:t xml:space="preserve"> is</w:t>
      </w:r>
      <w:r w:rsidR="009642D2">
        <w:rPr>
          <w:rFonts w:ascii="Times New Roman" w:hAnsi="Times New Roman" w:cs="Times New Roman"/>
          <w:sz w:val="24"/>
          <w:szCs w:val="24"/>
          <w:lang w:val="en-CA"/>
        </w:rPr>
        <w:t>, given</w:t>
      </w:r>
      <w:r w:rsidR="006E27CB">
        <w:rPr>
          <w:rFonts w:ascii="Times New Roman" w:hAnsi="Times New Roman" w:cs="Times New Roman"/>
          <w:sz w:val="24"/>
          <w:szCs w:val="24"/>
          <w:lang w:val="en-CA"/>
        </w:rPr>
        <w:t xml:space="preserve"> the </w:t>
      </w:r>
      <w:r w:rsidR="00E44ECB">
        <w:rPr>
          <w:rFonts w:ascii="Times New Roman" w:hAnsi="Times New Roman" w:cs="Times New Roman"/>
          <w:sz w:val="24"/>
          <w:szCs w:val="24"/>
          <w:lang w:val="en-CA"/>
        </w:rPr>
        <w:t>specific</w:t>
      </w:r>
      <w:r w:rsidR="006E27CB">
        <w:rPr>
          <w:rFonts w:ascii="Times New Roman" w:hAnsi="Times New Roman" w:cs="Times New Roman"/>
          <w:sz w:val="24"/>
          <w:szCs w:val="24"/>
          <w:lang w:val="en-CA"/>
        </w:rPr>
        <w:t xml:space="preserve"> circumstances of that case, imposed as an administrative sanction and not as a ‘mere’ police measure</w:t>
      </w:r>
      <w:r w:rsidR="006E27CB">
        <w:rPr>
          <w:rStyle w:val="Odwoanieprzypisudolnego"/>
          <w:rFonts w:ascii="Times New Roman" w:hAnsi="Times New Roman" w:cs="Times New Roman"/>
          <w:sz w:val="24"/>
          <w:szCs w:val="24"/>
          <w:lang w:val="en-CA"/>
        </w:rPr>
        <w:footnoteReference w:id="80"/>
      </w:r>
      <w:r w:rsidR="006E27CB">
        <w:rPr>
          <w:rFonts w:ascii="Times New Roman" w:hAnsi="Times New Roman" w:cs="Times New Roman"/>
          <w:sz w:val="24"/>
          <w:szCs w:val="24"/>
          <w:lang w:val="en-CA"/>
        </w:rPr>
        <w:t xml:space="preserve">. </w:t>
      </w:r>
      <w:r w:rsidR="008149B4">
        <w:rPr>
          <w:rFonts w:ascii="Times New Roman" w:hAnsi="Times New Roman" w:cs="Times New Roman"/>
          <w:sz w:val="24"/>
          <w:szCs w:val="24"/>
          <w:lang w:val="en-CA"/>
        </w:rPr>
        <w:t xml:space="preserve">Administrative sanctions are, as </w:t>
      </w:r>
      <w:r w:rsidR="0014322A">
        <w:rPr>
          <w:rFonts w:ascii="Times New Roman" w:hAnsi="Times New Roman" w:cs="Times New Roman"/>
          <w:sz w:val="24"/>
          <w:szCs w:val="24"/>
          <w:lang w:val="en-CA"/>
        </w:rPr>
        <w:t>stated</w:t>
      </w:r>
      <w:r w:rsidR="008149B4">
        <w:rPr>
          <w:rFonts w:ascii="Times New Roman" w:hAnsi="Times New Roman" w:cs="Times New Roman"/>
          <w:sz w:val="24"/>
          <w:szCs w:val="24"/>
          <w:lang w:val="en-CA"/>
        </w:rPr>
        <w:t xml:space="preserve"> </w:t>
      </w:r>
      <w:r w:rsidR="008149B4" w:rsidRPr="001E55D5">
        <w:rPr>
          <w:rFonts w:ascii="Times New Roman" w:hAnsi="Times New Roman" w:cs="Times New Roman"/>
          <w:sz w:val="24"/>
          <w:szCs w:val="24"/>
          <w:lang w:val="en-CA"/>
        </w:rPr>
        <w:t xml:space="preserve">above, to be considered as a punishment imposed in order to hurt the </w:t>
      </w:r>
      <w:r w:rsidR="006E27CB" w:rsidRPr="001E55D5">
        <w:rPr>
          <w:rFonts w:ascii="Times New Roman" w:hAnsi="Times New Roman" w:cs="Times New Roman"/>
          <w:sz w:val="24"/>
          <w:szCs w:val="24"/>
          <w:lang w:val="en-CA"/>
        </w:rPr>
        <w:t>offender</w:t>
      </w:r>
      <w:r w:rsidR="008149B4" w:rsidRPr="001E55D5">
        <w:rPr>
          <w:rFonts w:ascii="Times New Roman" w:hAnsi="Times New Roman" w:cs="Times New Roman"/>
          <w:sz w:val="24"/>
          <w:szCs w:val="24"/>
          <w:lang w:val="en-CA"/>
        </w:rPr>
        <w:t xml:space="preserve"> for the infringement </w:t>
      </w:r>
      <w:r w:rsidR="00E44ECB" w:rsidRPr="001E55D5">
        <w:rPr>
          <w:rFonts w:ascii="Times New Roman" w:hAnsi="Times New Roman" w:cs="Times New Roman"/>
          <w:sz w:val="24"/>
          <w:szCs w:val="24"/>
          <w:lang w:val="en-CA"/>
        </w:rPr>
        <w:t xml:space="preserve">that </w:t>
      </w:r>
      <w:r w:rsidR="008149B4" w:rsidRPr="001E55D5">
        <w:rPr>
          <w:rFonts w:ascii="Times New Roman" w:hAnsi="Times New Roman" w:cs="Times New Roman"/>
          <w:sz w:val="24"/>
          <w:szCs w:val="24"/>
          <w:lang w:val="en-CA"/>
        </w:rPr>
        <w:t xml:space="preserve">he </w:t>
      </w:r>
      <w:r w:rsidR="006E27CB" w:rsidRPr="001E55D5">
        <w:rPr>
          <w:rFonts w:ascii="Times New Roman" w:hAnsi="Times New Roman" w:cs="Times New Roman"/>
          <w:sz w:val="24"/>
          <w:szCs w:val="24"/>
          <w:lang w:val="en-CA"/>
        </w:rPr>
        <w:t xml:space="preserve">or she </w:t>
      </w:r>
      <w:r w:rsidR="008149B4" w:rsidRPr="001E55D5">
        <w:rPr>
          <w:rFonts w:ascii="Times New Roman" w:hAnsi="Times New Roman" w:cs="Times New Roman"/>
          <w:sz w:val="24"/>
          <w:szCs w:val="24"/>
          <w:lang w:val="en-CA"/>
        </w:rPr>
        <w:t xml:space="preserve">committed. </w:t>
      </w:r>
      <w:r w:rsidR="008149B4" w:rsidRPr="00BE31C1">
        <w:rPr>
          <w:rFonts w:ascii="Times New Roman" w:hAnsi="Times New Roman" w:cs="Times New Roman"/>
          <w:sz w:val="24"/>
          <w:szCs w:val="24"/>
          <w:lang w:val="en-CA"/>
        </w:rPr>
        <w:t xml:space="preserve">This has important implications with regard to the proportionality test. </w:t>
      </w:r>
      <w:r w:rsidR="008149B4">
        <w:rPr>
          <w:rFonts w:ascii="Times New Roman" w:hAnsi="Times New Roman" w:cs="Times New Roman"/>
          <w:sz w:val="24"/>
          <w:szCs w:val="24"/>
          <w:lang w:val="en-CA"/>
        </w:rPr>
        <w:t>In its case law, the Council of State frequently confirmed that it is because of the fact that the imposed administrative sanction essentially constitute</w:t>
      </w:r>
      <w:r w:rsidR="00E45FDE">
        <w:rPr>
          <w:rFonts w:ascii="Times New Roman" w:hAnsi="Times New Roman" w:cs="Times New Roman"/>
          <w:sz w:val="24"/>
          <w:szCs w:val="24"/>
          <w:lang w:val="en-CA"/>
        </w:rPr>
        <w:t>s</w:t>
      </w:r>
      <w:r w:rsidR="008149B4">
        <w:rPr>
          <w:rFonts w:ascii="Times New Roman" w:hAnsi="Times New Roman" w:cs="Times New Roman"/>
          <w:sz w:val="24"/>
          <w:szCs w:val="24"/>
          <w:lang w:val="en-CA"/>
        </w:rPr>
        <w:t xml:space="preserve"> a punishment for the infringement of a local regulation</w:t>
      </w:r>
      <w:r>
        <w:rPr>
          <w:rFonts w:ascii="Times New Roman" w:hAnsi="Times New Roman" w:cs="Times New Roman"/>
          <w:sz w:val="24"/>
          <w:szCs w:val="24"/>
          <w:lang w:val="en-CA"/>
        </w:rPr>
        <w:t>,</w:t>
      </w:r>
      <w:r w:rsidR="008149B4">
        <w:rPr>
          <w:rFonts w:ascii="Times New Roman" w:hAnsi="Times New Roman" w:cs="Times New Roman"/>
          <w:sz w:val="24"/>
          <w:szCs w:val="24"/>
          <w:lang w:val="en-CA"/>
        </w:rPr>
        <w:t xml:space="preserve"> that the proportionality test may not be interpreted as whether or not the imposed measure goes beyond what is necessary to stop the </w:t>
      </w:r>
      <w:r w:rsidR="009642D2">
        <w:rPr>
          <w:rFonts w:ascii="Times New Roman" w:hAnsi="Times New Roman" w:cs="Times New Roman"/>
          <w:sz w:val="24"/>
          <w:szCs w:val="24"/>
          <w:lang w:val="en-CA"/>
        </w:rPr>
        <w:t>public order</w:t>
      </w:r>
      <w:r w:rsidR="008149B4">
        <w:rPr>
          <w:rFonts w:ascii="Times New Roman" w:hAnsi="Times New Roman" w:cs="Times New Roman"/>
          <w:sz w:val="24"/>
          <w:szCs w:val="24"/>
          <w:lang w:val="en-CA"/>
        </w:rPr>
        <w:t xml:space="preserve"> disturbance</w:t>
      </w:r>
      <w:r w:rsidR="00E45FDE">
        <w:rPr>
          <w:rFonts w:ascii="Times New Roman" w:hAnsi="Times New Roman" w:cs="Times New Roman"/>
          <w:sz w:val="24"/>
          <w:szCs w:val="24"/>
          <w:lang w:val="en-CA"/>
        </w:rPr>
        <w:t xml:space="preserve">, </w:t>
      </w:r>
      <w:r>
        <w:rPr>
          <w:rFonts w:ascii="Times New Roman" w:hAnsi="Times New Roman" w:cs="Times New Roman"/>
          <w:sz w:val="24"/>
          <w:szCs w:val="24"/>
          <w:lang w:val="en-CA"/>
        </w:rPr>
        <w:t>in contrast</w:t>
      </w:r>
      <w:r w:rsidR="00E45FDE">
        <w:rPr>
          <w:rFonts w:ascii="Times New Roman" w:hAnsi="Times New Roman" w:cs="Times New Roman"/>
          <w:sz w:val="24"/>
          <w:szCs w:val="24"/>
          <w:lang w:val="en-CA"/>
        </w:rPr>
        <w:t xml:space="preserve"> to</w:t>
      </w:r>
      <w:r w:rsidR="008149B4">
        <w:rPr>
          <w:rFonts w:ascii="Times New Roman" w:hAnsi="Times New Roman" w:cs="Times New Roman"/>
          <w:sz w:val="24"/>
          <w:szCs w:val="24"/>
          <w:lang w:val="en-CA"/>
        </w:rPr>
        <w:t xml:space="preserve"> the proportionality test </w:t>
      </w:r>
      <w:r w:rsidR="009642D2">
        <w:rPr>
          <w:rFonts w:ascii="Times New Roman" w:hAnsi="Times New Roman" w:cs="Times New Roman"/>
          <w:sz w:val="24"/>
          <w:szCs w:val="24"/>
          <w:lang w:val="en-CA"/>
        </w:rPr>
        <w:t>for</w:t>
      </w:r>
      <w:r w:rsidR="008149B4">
        <w:rPr>
          <w:rFonts w:ascii="Times New Roman" w:hAnsi="Times New Roman" w:cs="Times New Roman"/>
          <w:sz w:val="24"/>
          <w:szCs w:val="24"/>
          <w:lang w:val="en-CA"/>
        </w:rPr>
        <w:t xml:space="preserve"> police </w:t>
      </w:r>
      <w:r w:rsidR="00E45FDE">
        <w:rPr>
          <w:rFonts w:ascii="Times New Roman" w:hAnsi="Times New Roman" w:cs="Times New Roman"/>
          <w:sz w:val="24"/>
          <w:szCs w:val="24"/>
          <w:lang w:val="en-CA"/>
        </w:rPr>
        <w:t>measures</w:t>
      </w:r>
      <w:r w:rsidR="008149B4">
        <w:rPr>
          <w:rFonts w:ascii="Times New Roman" w:hAnsi="Times New Roman" w:cs="Times New Roman"/>
          <w:sz w:val="24"/>
          <w:szCs w:val="24"/>
          <w:lang w:val="en-CA"/>
        </w:rPr>
        <w:t>. To be proportionate, the administrative sanction</w:t>
      </w:r>
      <w:r w:rsidR="006E27CB">
        <w:rPr>
          <w:rFonts w:ascii="Times New Roman" w:hAnsi="Times New Roman" w:cs="Times New Roman"/>
          <w:sz w:val="24"/>
          <w:szCs w:val="24"/>
          <w:lang w:val="en-CA"/>
        </w:rPr>
        <w:t xml:space="preserve"> </w:t>
      </w:r>
      <w:r w:rsidR="008149B4">
        <w:rPr>
          <w:rFonts w:ascii="Times New Roman" w:hAnsi="Times New Roman" w:cs="Times New Roman"/>
          <w:sz w:val="24"/>
          <w:szCs w:val="24"/>
          <w:lang w:val="en-CA"/>
        </w:rPr>
        <w:t xml:space="preserve">must </w:t>
      </w:r>
      <w:r w:rsidR="00262749">
        <w:rPr>
          <w:rFonts w:ascii="Times New Roman" w:hAnsi="Times New Roman" w:cs="Times New Roman"/>
          <w:sz w:val="24"/>
          <w:szCs w:val="24"/>
          <w:lang w:val="en-CA"/>
        </w:rPr>
        <w:t>stand in fair proportion to t</w:t>
      </w:r>
      <w:r w:rsidR="00E45FDE">
        <w:rPr>
          <w:rFonts w:ascii="Times New Roman" w:hAnsi="Times New Roman" w:cs="Times New Roman"/>
          <w:sz w:val="24"/>
          <w:szCs w:val="24"/>
          <w:lang w:val="en-CA"/>
        </w:rPr>
        <w:t xml:space="preserve">he </w:t>
      </w:r>
      <w:r w:rsidR="008D270F">
        <w:rPr>
          <w:rFonts w:ascii="Times New Roman" w:hAnsi="Times New Roman" w:cs="Times New Roman"/>
          <w:sz w:val="24"/>
          <w:szCs w:val="24"/>
          <w:lang w:val="en-CA"/>
        </w:rPr>
        <w:t xml:space="preserve">severity of the </w:t>
      </w:r>
      <w:r w:rsidR="00E45FDE">
        <w:rPr>
          <w:rFonts w:ascii="Times New Roman" w:hAnsi="Times New Roman" w:cs="Times New Roman"/>
          <w:sz w:val="24"/>
          <w:szCs w:val="24"/>
          <w:lang w:val="en-CA"/>
        </w:rPr>
        <w:t>facts</w:t>
      </w:r>
      <w:r w:rsidR="00C826EA">
        <w:rPr>
          <w:rFonts w:ascii="Times New Roman" w:hAnsi="Times New Roman" w:cs="Times New Roman"/>
          <w:sz w:val="24"/>
          <w:szCs w:val="24"/>
          <w:lang w:val="en-CA"/>
        </w:rPr>
        <w:t xml:space="preserve"> committed</w:t>
      </w:r>
      <w:r w:rsidR="007F000E">
        <w:rPr>
          <w:rFonts w:ascii="Times New Roman" w:hAnsi="Times New Roman" w:cs="Times New Roman"/>
          <w:sz w:val="24"/>
          <w:szCs w:val="24"/>
          <w:lang w:val="en-CA"/>
        </w:rPr>
        <w:t>, i.e. the infringement</w:t>
      </w:r>
      <w:r w:rsidR="008149B4">
        <w:rPr>
          <w:rFonts w:ascii="Times New Roman" w:hAnsi="Times New Roman" w:cs="Times New Roman"/>
          <w:sz w:val="24"/>
          <w:szCs w:val="24"/>
          <w:lang w:val="en-CA"/>
        </w:rPr>
        <w:t>.</w:t>
      </w:r>
      <w:r w:rsidR="008149B4" w:rsidRPr="003C72A4">
        <w:rPr>
          <w:rFonts w:ascii="Times New Roman" w:hAnsi="Times New Roman" w:cs="Times New Roman"/>
          <w:sz w:val="24"/>
          <w:szCs w:val="24"/>
          <w:vertAlign w:val="superscript"/>
        </w:rPr>
        <w:footnoteReference w:id="81"/>
      </w:r>
      <w:r w:rsidR="009642D2">
        <w:rPr>
          <w:rFonts w:ascii="Times New Roman" w:hAnsi="Times New Roman" w:cs="Times New Roman"/>
          <w:sz w:val="24"/>
          <w:szCs w:val="24"/>
          <w:lang w:val="en-CA"/>
        </w:rPr>
        <w:t xml:space="preserve"> Thus, as an administrative sanction, the prohibition of place </w:t>
      </w:r>
      <w:r w:rsidR="008D270F">
        <w:rPr>
          <w:rFonts w:ascii="Times New Roman" w:hAnsi="Times New Roman" w:cs="Times New Roman"/>
          <w:sz w:val="24"/>
          <w:szCs w:val="24"/>
          <w:lang w:val="en-CA"/>
        </w:rPr>
        <w:t>must be proportionate to the facts for which it was applied.</w:t>
      </w:r>
    </w:p>
    <w:p w14:paraId="58A7AC87" w14:textId="78D842F0" w:rsidR="0089303A" w:rsidRPr="00DB4180" w:rsidRDefault="00C01B4B" w:rsidP="003006AD">
      <w:pPr>
        <w:jc w:val="both"/>
        <w:rPr>
          <w:rFonts w:ascii="Times New Roman" w:hAnsi="Times New Roman" w:cs="Times New Roman"/>
          <w:sz w:val="24"/>
          <w:szCs w:val="24"/>
          <w:lang w:val="en-CA"/>
        </w:rPr>
      </w:pPr>
      <w:r w:rsidRPr="00DA3534">
        <w:rPr>
          <w:rFonts w:ascii="Times New Roman" w:hAnsi="Times New Roman" w:cs="Times New Roman"/>
          <w:sz w:val="24"/>
          <w:szCs w:val="24"/>
          <w:lang w:val="en-CA"/>
        </w:rPr>
        <w:t xml:space="preserve">The interpretation of the proportionality test as being a reasonable proportion between the </w:t>
      </w:r>
      <w:r w:rsidR="00CF29F9" w:rsidRPr="00DA3534">
        <w:rPr>
          <w:rFonts w:ascii="Times New Roman" w:hAnsi="Times New Roman" w:cs="Times New Roman"/>
          <w:sz w:val="24"/>
          <w:szCs w:val="24"/>
          <w:lang w:val="en-CA"/>
        </w:rPr>
        <w:t xml:space="preserve">imposed sanction </w:t>
      </w:r>
      <w:r w:rsidR="00CF29F9">
        <w:rPr>
          <w:rFonts w:ascii="Times New Roman" w:hAnsi="Times New Roman" w:cs="Times New Roman"/>
          <w:sz w:val="24"/>
          <w:szCs w:val="24"/>
          <w:lang w:val="en-CA"/>
        </w:rPr>
        <w:t>and the facts, in other words</w:t>
      </w:r>
      <w:r w:rsidR="0051666C">
        <w:rPr>
          <w:rFonts w:ascii="Times New Roman" w:hAnsi="Times New Roman" w:cs="Times New Roman"/>
          <w:sz w:val="24"/>
          <w:szCs w:val="24"/>
          <w:lang w:val="en-CA"/>
        </w:rPr>
        <w:t xml:space="preserve"> the</w:t>
      </w:r>
      <w:r w:rsidR="00CF29F9">
        <w:rPr>
          <w:rFonts w:ascii="Times New Roman" w:hAnsi="Times New Roman" w:cs="Times New Roman"/>
          <w:sz w:val="24"/>
          <w:szCs w:val="24"/>
          <w:lang w:val="en-CA"/>
        </w:rPr>
        <w:t xml:space="preserve"> ‘means-facts’ test, </w:t>
      </w:r>
      <w:r w:rsidRPr="00DA3534">
        <w:rPr>
          <w:rFonts w:ascii="Times New Roman" w:hAnsi="Times New Roman" w:cs="Times New Roman"/>
          <w:sz w:val="24"/>
          <w:szCs w:val="24"/>
          <w:lang w:val="en-CA"/>
        </w:rPr>
        <w:t xml:space="preserve">is not new. </w:t>
      </w:r>
      <w:r w:rsidRPr="00D9213B">
        <w:rPr>
          <w:rFonts w:ascii="Times New Roman" w:hAnsi="Times New Roman" w:cs="Times New Roman"/>
          <w:sz w:val="24"/>
          <w:szCs w:val="24"/>
          <w:lang w:val="en-CA"/>
        </w:rPr>
        <w:t xml:space="preserve">It is the traditional interpretation </w:t>
      </w:r>
      <w:r>
        <w:rPr>
          <w:rFonts w:ascii="Times New Roman" w:hAnsi="Times New Roman" w:cs="Times New Roman"/>
          <w:sz w:val="24"/>
          <w:szCs w:val="24"/>
          <w:lang w:val="en-CA"/>
        </w:rPr>
        <w:t xml:space="preserve">of the proportionality principle </w:t>
      </w:r>
      <w:r w:rsidRPr="00D9213B">
        <w:rPr>
          <w:rFonts w:ascii="Times New Roman" w:hAnsi="Times New Roman" w:cs="Times New Roman"/>
          <w:sz w:val="24"/>
          <w:szCs w:val="24"/>
          <w:lang w:val="en-CA"/>
        </w:rPr>
        <w:t>given</w:t>
      </w:r>
      <w:r>
        <w:rPr>
          <w:rFonts w:ascii="Times New Roman" w:hAnsi="Times New Roman" w:cs="Times New Roman"/>
          <w:sz w:val="24"/>
          <w:szCs w:val="24"/>
          <w:lang w:val="en-CA"/>
        </w:rPr>
        <w:t xml:space="preserve"> by the Council of State, as </w:t>
      </w:r>
      <w:r w:rsidR="006E27CB">
        <w:rPr>
          <w:rFonts w:ascii="Times New Roman" w:hAnsi="Times New Roman" w:cs="Times New Roman"/>
          <w:sz w:val="24"/>
          <w:szCs w:val="24"/>
          <w:lang w:val="en-CA"/>
        </w:rPr>
        <w:t>developed in disciplinary law</w:t>
      </w:r>
      <w:r w:rsidRPr="0014322A">
        <w:rPr>
          <w:rStyle w:val="Odwoanieprzypisudolnego"/>
          <w:rFonts w:ascii="Times New Roman" w:hAnsi="Times New Roman" w:cs="Times New Roman"/>
          <w:sz w:val="24"/>
          <w:szCs w:val="24"/>
        </w:rPr>
        <w:footnoteReference w:id="82"/>
      </w:r>
      <w:r w:rsidR="0051666C">
        <w:rPr>
          <w:rFonts w:ascii="Times New Roman" w:hAnsi="Times New Roman" w:cs="Times New Roman"/>
          <w:sz w:val="24"/>
          <w:szCs w:val="24"/>
          <w:lang w:val="en-CA"/>
        </w:rPr>
        <w:t>.</w:t>
      </w:r>
      <w:r w:rsidRPr="0014322A">
        <w:rPr>
          <w:rFonts w:ascii="Times New Roman" w:hAnsi="Times New Roman" w:cs="Times New Roman"/>
          <w:sz w:val="24"/>
          <w:szCs w:val="24"/>
          <w:lang w:val="en-CA"/>
        </w:rPr>
        <w:t xml:space="preserve"> This interpretation </w:t>
      </w:r>
      <w:r w:rsidR="006E27CB">
        <w:rPr>
          <w:rFonts w:ascii="Times New Roman" w:hAnsi="Times New Roman" w:cs="Times New Roman"/>
          <w:sz w:val="24"/>
          <w:szCs w:val="24"/>
          <w:lang w:val="en-CA"/>
        </w:rPr>
        <w:t xml:space="preserve">in turn </w:t>
      </w:r>
      <w:r w:rsidRPr="0014322A">
        <w:rPr>
          <w:rFonts w:ascii="Times New Roman" w:hAnsi="Times New Roman" w:cs="Times New Roman"/>
          <w:sz w:val="24"/>
          <w:szCs w:val="24"/>
          <w:lang w:val="en-CA"/>
        </w:rPr>
        <w:t>originates from</w:t>
      </w:r>
      <w:r>
        <w:rPr>
          <w:rFonts w:ascii="Times New Roman" w:hAnsi="Times New Roman" w:cs="Times New Roman"/>
          <w:sz w:val="24"/>
          <w:szCs w:val="24"/>
          <w:lang w:val="en-CA"/>
        </w:rPr>
        <w:t xml:space="preserve"> the proportionality </w:t>
      </w:r>
      <w:r w:rsidR="008D270F">
        <w:rPr>
          <w:rFonts w:ascii="Times New Roman" w:hAnsi="Times New Roman" w:cs="Times New Roman"/>
          <w:sz w:val="24"/>
          <w:szCs w:val="24"/>
          <w:lang w:val="en-CA"/>
        </w:rPr>
        <w:t>test</w:t>
      </w:r>
      <w:r>
        <w:rPr>
          <w:rFonts w:ascii="Times New Roman" w:hAnsi="Times New Roman" w:cs="Times New Roman"/>
          <w:sz w:val="24"/>
          <w:szCs w:val="24"/>
          <w:lang w:val="en-CA"/>
        </w:rPr>
        <w:t xml:space="preserve"> as it has been developed in </w:t>
      </w:r>
      <w:r w:rsidR="00DE3189">
        <w:rPr>
          <w:rFonts w:ascii="Times New Roman" w:hAnsi="Times New Roman" w:cs="Times New Roman"/>
          <w:sz w:val="24"/>
          <w:szCs w:val="24"/>
          <w:lang w:val="en-CA"/>
        </w:rPr>
        <w:t xml:space="preserve">domestic </w:t>
      </w:r>
      <w:r>
        <w:rPr>
          <w:rFonts w:ascii="Times New Roman" w:hAnsi="Times New Roman" w:cs="Times New Roman"/>
          <w:sz w:val="24"/>
          <w:szCs w:val="24"/>
          <w:lang w:val="en-CA"/>
        </w:rPr>
        <w:t xml:space="preserve">criminal law: the criminal sanction applied must stand </w:t>
      </w:r>
      <w:r w:rsidR="006E27CB">
        <w:rPr>
          <w:rFonts w:ascii="Times New Roman" w:hAnsi="Times New Roman" w:cs="Times New Roman"/>
          <w:sz w:val="24"/>
          <w:szCs w:val="24"/>
          <w:lang w:val="en-CA"/>
        </w:rPr>
        <w:t xml:space="preserve">in fair proportion to the </w:t>
      </w:r>
      <w:r w:rsidR="00F868A0">
        <w:rPr>
          <w:rFonts w:ascii="Times New Roman" w:hAnsi="Times New Roman" w:cs="Times New Roman"/>
          <w:sz w:val="24"/>
          <w:szCs w:val="24"/>
          <w:lang w:val="en-CA"/>
        </w:rPr>
        <w:t xml:space="preserve">severity of the </w:t>
      </w:r>
      <w:r w:rsidR="006E27CB">
        <w:rPr>
          <w:rFonts w:ascii="Times New Roman" w:hAnsi="Times New Roman" w:cs="Times New Roman"/>
          <w:sz w:val="24"/>
          <w:szCs w:val="24"/>
          <w:lang w:val="en-CA"/>
        </w:rPr>
        <w:t xml:space="preserve">facts, </w:t>
      </w:r>
      <w:r>
        <w:rPr>
          <w:rFonts w:ascii="Times New Roman" w:hAnsi="Times New Roman" w:cs="Times New Roman"/>
          <w:sz w:val="24"/>
          <w:szCs w:val="24"/>
          <w:lang w:val="en-CA"/>
        </w:rPr>
        <w:t>i.e. the criminal behaviour committed</w:t>
      </w:r>
      <w:r>
        <w:rPr>
          <w:rStyle w:val="Odwoanieprzypisudolnego"/>
          <w:rFonts w:ascii="Times New Roman" w:hAnsi="Times New Roman" w:cs="Times New Roman"/>
          <w:sz w:val="24"/>
          <w:szCs w:val="24"/>
          <w:lang w:val="en-CA"/>
        </w:rPr>
        <w:footnoteReference w:id="83"/>
      </w:r>
      <w:r>
        <w:rPr>
          <w:rFonts w:ascii="Times New Roman" w:hAnsi="Times New Roman" w:cs="Times New Roman"/>
          <w:sz w:val="24"/>
          <w:szCs w:val="24"/>
          <w:lang w:val="en-CA"/>
        </w:rPr>
        <w:t xml:space="preserve">. </w:t>
      </w:r>
      <w:r w:rsidRPr="00DB4180">
        <w:rPr>
          <w:rFonts w:ascii="Times New Roman" w:hAnsi="Times New Roman" w:cs="Times New Roman"/>
          <w:sz w:val="24"/>
          <w:szCs w:val="24"/>
          <w:lang w:val="en-CA"/>
        </w:rPr>
        <w:t>The interpretation</w:t>
      </w:r>
      <w:r w:rsidRPr="00514301">
        <w:rPr>
          <w:rFonts w:ascii="Times New Roman" w:hAnsi="Times New Roman" w:cs="Times New Roman"/>
          <w:sz w:val="24"/>
          <w:szCs w:val="24"/>
          <w:lang w:val="en-CA"/>
        </w:rPr>
        <w:t xml:space="preserve"> of the proportionality principle as regards administrative sanctions is thus more in line with the</w:t>
      </w:r>
      <w:r>
        <w:rPr>
          <w:rFonts w:ascii="Times New Roman" w:hAnsi="Times New Roman" w:cs="Times New Roman"/>
          <w:sz w:val="24"/>
          <w:szCs w:val="24"/>
          <w:lang w:val="en-CA"/>
        </w:rPr>
        <w:t xml:space="preserve"> concept of proportionality</w:t>
      </w:r>
      <w:r w:rsidR="00F71322">
        <w:rPr>
          <w:rFonts w:ascii="Times New Roman" w:hAnsi="Times New Roman" w:cs="Times New Roman"/>
          <w:sz w:val="24"/>
          <w:szCs w:val="24"/>
          <w:lang w:val="en-CA"/>
        </w:rPr>
        <w:t xml:space="preserve"> in criminal matters</w:t>
      </w:r>
      <w:r>
        <w:rPr>
          <w:rFonts w:ascii="Times New Roman" w:hAnsi="Times New Roman" w:cs="Times New Roman"/>
          <w:sz w:val="24"/>
          <w:szCs w:val="24"/>
          <w:lang w:val="en-CA"/>
        </w:rPr>
        <w:t xml:space="preserve"> than the administrative concept</w:t>
      </w:r>
      <w:r w:rsidRPr="00514301">
        <w:rPr>
          <w:rFonts w:ascii="Times New Roman" w:hAnsi="Times New Roman" w:cs="Times New Roman"/>
          <w:sz w:val="24"/>
          <w:szCs w:val="24"/>
          <w:lang w:val="en-CA"/>
        </w:rPr>
        <w:t xml:space="preserve"> </w:t>
      </w:r>
      <w:r w:rsidR="00DE7546">
        <w:rPr>
          <w:rFonts w:ascii="Times New Roman" w:hAnsi="Times New Roman" w:cs="Times New Roman"/>
          <w:sz w:val="24"/>
          <w:szCs w:val="24"/>
          <w:lang w:val="en-CA"/>
        </w:rPr>
        <w:t>applied to police measures</w:t>
      </w:r>
      <w:r>
        <w:rPr>
          <w:rFonts w:ascii="Times New Roman" w:hAnsi="Times New Roman" w:cs="Times New Roman"/>
          <w:sz w:val="24"/>
          <w:szCs w:val="24"/>
          <w:lang w:val="en-CA"/>
        </w:rPr>
        <w:t>.</w:t>
      </w:r>
    </w:p>
    <w:p w14:paraId="518C37EB" w14:textId="5F7D7C9C" w:rsidR="00F741CC" w:rsidRDefault="003E6ED7" w:rsidP="003006AD">
      <w:pPr>
        <w:jc w:val="both"/>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As the above indicates, the Council of State applies a different proportionality test depending </w:t>
      </w:r>
      <w:r w:rsidR="0051666C">
        <w:rPr>
          <w:rFonts w:ascii="Times New Roman" w:hAnsi="Times New Roman" w:cs="Times New Roman"/>
          <w:sz w:val="24"/>
          <w:szCs w:val="24"/>
          <w:lang w:val="en-CA"/>
        </w:rPr>
        <w:t xml:space="preserve">on whether the measure imposed </w:t>
      </w:r>
      <w:r>
        <w:rPr>
          <w:rFonts w:ascii="Times New Roman" w:hAnsi="Times New Roman" w:cs="Times New Roman"/>
          <w:sz w:val="24"/>
          <w:szCs w:val="24"/>
          <w:lang w:val="en-CA"/>
        </w:rPr>
        <w:t xml:space="preserve">is preventive in nature or has a more punitive object. </w:t>
      </w:r>
      <w:r w:rsidR="0089303A">
        <w:rPr>
          <w:rFonts w:ascii="Times New Roman" w:hAnsi="Times New Roman" w:cs="Times New Roman"/>
          <w:sz w:val="24"/>
          <w:szCs w:val="24"/>
          <w:lang w:val="en-CA"/>
        </w:rPr>
        <w:t>I</w:t>
      </w:r>
      <w:r w:rsidR="00F741CC">
        <w:rPr>
          <w:rFonts w:ascii="Times New Roman" w:hAnsi="Times New Roman" w:cs="Times New Roman"/>
          <w:sz w:val="24"/>
          <w:szCs w:val="24"/>
          <w:lang w:val="en-CA"/>
        </w:rPr>
        <w:t xml:space="preserve">t can be argued that this </w:t>
      </w:r>
      <w:r>
        <w:rPr>
          <w:rFonts w:ascii="Times New Roman" w:hAnsi="Times New Roman" w:cs="Times New Roman"/>
          <w:sz w:val="24"/>
          <w:szCs w:val="24"/>
          <w:lang w:val="en-CA"/>
        </w:rPr>
        <w:t xml:space="preserve">distinction </w:t>
      </w:r>
      <w:r w:rsidR="00F741CC">
        <w:rPr>
          <w:rFonts w:ascii="Times New Roman" w:hAnsi="Times New Roman" w:cs="Times New Roman"/>
          <w:sz w:val="24"/>
          <w:szCs w:val="24"/>
          <w:lang w:val="en-CA"/>
        </w:rPr>
        <w:t>i</w:t>
      </w:r>
      <w:r w:rsidR="0096526D">
        <w:rPr>
          <w:rFonts w:ascii="Times New Roman" w:hAnsi="Times New Roman" w:cs="Times New Roman"/>
          <w:sz w:val="24"/>
          <w:szCs w:val="24"/>
          <w:lang w:val="en-CA"/>
        </w:rPr>
        <w:t>s in line with</w:t>
      </w:r>
      <w:r>
        <w:rPr>
          <w:rFonts w:ascii="Times New Roman" w:hAnsi="Times New Roman" w:cs="Times New Roman"/>
          <w:sz w:val="24"/>
          <w:szCs w:val="24"/>
          <w:lang w:val="en-CA"/>
        </w:rPr>
        <w:t xml:space="preserve"> </w:t>
      </w:r>
      <w:r w:rsidR="00571696">
        <w:rPr>
          <w:rFonts w:ascii="Times New Roman" w:hAnsi="Times New Roman" w:cs="Times New Roman"/>
          <w:sz w:val="24"/>
          <w:szCs w:val="24"/>
          <w:lang w:val="en-CA"/>
        </w:rPr>
        <w:t>Article</w:t>
      </w:r>
      <w:r>
        <w:rPr>
          <w:rFonts w:ascii="Times New Roman" w:hAnsi="Times New Roman" w:cs="Times New Roman"/>
          <w:sz w:val="24"/>
          <w:szCs w:val="24"/>
          <w:lang w:val="en-CA"/>
        </w:rPr>
        <w:t xml:space="preserve"> 6 ECHR</w:t>
      </w:r>
      <w:r w:rsidR="0096526D">
        <w:rPr>
          <w:rFonts w:ascii="Times New Roman" w:hAnsi="Times New Roman" w:cs="Times New Roman"/>
          <w:sz w:val="24"/>
          <w:szCs w:val="24"/>
          <w:lang w:val="en-CA"/>
        </w:rPr>
        <w:t xml:space="preserve">. After all, this Article </w:t>
      </w:r>
      <w:r w:rsidR="0051666C">
        <w:rPr>
          <w:rFonts w:ascii="Times New Roman" w:hAnsi="Times New Roman" w:cs="Times New Roman"/>
          <w:sz w:val="24"/>
          <w:szCs w:val="24"/>
          <w:lang w:val="en-CA"/>
        </w:rPr>
        <w:t xml:space="preserve">also seems </w:t>
      </w:r>
      <w:r w:rsidR="0096526D">
        <w:rPr>
          <w:rFonts w:ascii="Times New Roman" w:hAnsi="Times New Roman" w:cs="Times New Roman"/>
          <w:sz w:val="24"/>
          <w:szCs w:val="24"/>
          <w:lang w:val="en-CA"/>
        </w:rPr>
        <w:t xml:space="preserve">to require a distinction between punitive measures (i.e. criminal charges) and those which are more preventive </w:t>
      </w:r>
      <w:r w:rsidR="0096526D" w:rsidRPr="0096526D">
        <w:rPr>
          <w:rFonts w:ascii="Times New Roman" w:hAnsi="Times New Roman" w:cs="Times New Roman"/>
          <w:sz w:val="24"/>
          <w:szCs w:val="24"/>
          <w:lang w:val="en-CA"/>
        </w:rPr>
        <w:t>in nature and to</w:t>
      </w:r>
      <w:r w:rsidR="00C51218" w:rsidRPr="0096526D">
        <w:rPr>
          <w:rFonts w:ascii="Times New Roman" w:hAnsi="Times New Roman" w:cs="Times New Roman"/>
          <w:sz w:val="24"/>
          <w:szCs w:val="24"/>
          <w:lang w:val="en-CA"/>
        </w:rPr>
        <w:t xml:space="preserve"> </w:t>
      </w:r>
      <w:r w:rsidR="0096526D" w:rsidRPr="0096526D">
        <w:rPr>
          <w:rFonts w:ascii="Times New Roman" w:hAnsi="Times New Roman" w:cs="Times New Roman"/>
          <w:sz w:val="24"/>
          <w:szCs w:val="24"/>
          <w:lang w:val="en-CA"/>
        </w:rPr>
        <w:t>apply</w:t>
      </w:r>
      <w:r w:rsidR="00C51218" w:rsidRPr="0096526D">
        <w:rPr>
          <w:rFonts w:ascii="Times New Roman" w:hAnsi="Times New Roman" w:cs="Times New Roman"/>
          <w:sz w:val="24"/>
          <w:szCs w:val="24"/>
          <w:lang w:val="en-CA"/>
        </w:rPr>
        <w:t xml:space="preserve"> the criminal</w:t>
      </w:r>
      <w:r w:rsidRPr="0096526D">
        <w:rPr>
          <w:rFonts w:ascii="Times New Roman" w:hAnsi="Times New Roman" w:cs="Times New Roman"/>
          <w:sz w:val="24"/>
          <w:szCs w:val="24"/>
          <w:lang w:val="en-CA"/>
        </w:rPr>
        <w:t xml:space="preserve"> ‘means-facts’ to </w:t>
      </w:r>
      <w:r w:rsidR="0051666C" w:rsidRPr="0096526D">
        <w:rPr>
          <w:rFonts w:ascii="Times New Roman" w:hAnsi="Times New Roman" w:cs="Times New Roman"/>
          <w:sz w:val="24"/>
          <w:szCs w:val="24"/>
          <w:lang w:val="en-CA"/>
        </w:rPr>
        <w:t xml:space="preserve">only </w:t>
      </w:r>
      <w:r w:rsidR="00C51218" w:rsidRPr="0096526D">
        <w:rPr>
          <w:rFonts w:ascii="Times New Roman" w:hAnsi="Times New Roman" w:cs="Times New Roman"/>
          <w:sz w:val="24"/>
          <w:szCs w:val="24"/>
          <w:lang w:val="en-CA"/>
        </w:rPr>
        <w:t xml:space="preserve">criminal charges </w:t>
      </w:r>
      <w:r w:rsidRPr="0096526D">
        <w:rPr>
          <w:rFonts w:ascii="Times New Roman" w:hAnsi="Times New Roman" w:cs="Times New Roman"/>
          <w:sz w:val="24"/>
          <w:szCs w:val="24"/>
          <w:lang w:val="en-CA"/>
        </w:rPr>
        <w:t xml:space="preserve">and not </w:t>
      </w:r>
      <w:r w:rsidR="0096526D" w:rsidRPr="0096526D">
        <w:rPr>
          <w:rFonts w:ascii="Times New Roman" w:hAnsi="Times New Roman" w:cs="Times New Roman"/>
          <w:sz w:val="24"/>
          <w:szCs w:val="24"/>
          <w:lang w:val="en-CA"/>
        </w:rPr>
        <w:t>to preventive measures</w:t>
      </w:r>
      <w:r w:rsidR="00BD6764">
        <w:rPr>
          <w:rFonts w:ascii="Times New Roman" w:hAnsi="Times New Roman" w:cs="Times New Roman"/>
          <w:sz w:val="24"/>
          <w:szCs w:val="24"/>
          <w:lang w:val="en-CA"/>
        </w:rPr>
        <w:t>.</w:t>
      </w:r>
    </w:p>
    <w:p w14:paraId="794E912C" w14:textId="5CA58458" w:rsidR="00B07DCA" w:rsidRDefault="00A75759" w:rsidP="003006AD">
      <w:pPr>
        <w:jc w:val="both"/>
        <w:rPr>
          <w:rFonts w:ascii="Times New Roman" w:hAnsi="Times New Roman" w:cs="Times New Roman"/>
          <w:sz w:val="24"/>
          <w:szCs w:val="24"/>
          <w:lang w:val="en-CA"/>
        </w:rPr>
      </w:pPr>
      <w:r w:rsidRPr="00744F3D">
        <w:rPr>
          <w:rFonts w:ascii="Times New Roman" w:hAnsi="Times New Roman" w:cs="Times New Roman"/>
          <w:sz w:val="24"/>
          <w:szCs w:val="24"/>
          <w:lang w:val="en-CA"/>
        </w:rPr>
        <w:t xml:space="preserve">However, </w:t>
      </w:r>
      <w:r w:rsidR="0089303A" w:rsidRPr="00744F3D">
        <w:rPr>
          <w:rFonts w:ascii="Times New Roman" w:hAnsi="Times New Roman" w:cs="Times New Roman"/>
          <w:sz w:val="24"/>
          <w:szCs w:val="24"/>
          <w:lang w:val="en-CA"/>
        </w:rPr>
        <w:t xml:space="preserve">two remarks should be made here. First, </w:t>
      </w:r>
      <w:r w:rsidR="00641D99" w:rsidRPr="00744F3D">
        <w:rPr>
          <w:rFonts w:ascii="Times New Roman" w:hAnsi="Times New Roman" w:cs="Times New Roman"/>
          <w:sz w:val="24"/>
          <w:szCs w:val="24"/>
          <w:lang w:val="en-CA"/>
        </w:rPr>
        <w:t>assessing the proportionality of freedom-</w:t>
      </w:r>
      <w:r w:rsidR="00744F3D">
        <w:rPr>
          <w:rFonts w:ascii="Times New Roman" w:hAnsi="Times New Roman" w:cs="Times New Roman"/>
          <w:sz w:val="24"/>
          <w:szCs w:val="24"/>
          <w:lang w:val="en-CA"/>
        </w:rPr>
        <w:t xml:space="preserve">restricting measures, such as the prohibition of place, </w:t>
      </w:r>
      <w:r w:rsidR="00641D99">
        <w:rPr>
          <w:rFonts w:ascii="Times New Roman" w:hAnsi="Times New Roman" w:cs="Times New Roman"/>
          <w:sz w:val="24"/>
          <w:szCs w:val="24"/>
          <w:lang w:val="en-CA"/>
        </w:rPr>
        <w:t xml:space="preserve">does not only </w:t>
      </w:r>
      <w:r w:rsidR="00744F3D">
        <w:rPr>
          <w:rFonts w:ascii="Times New Roman" w:hAnsi="Times New Roman" w:cs="Times New Roman"/>
          <w:sz w:val="24"/>
          <w:szCs w:val="24"/>
          <w:lang w:val="en-CA"/>
        </w:rPr>
        <w:t>seem</w:t>
      </w:r>
      <w:r w:rsidR="00641D99">
        <w:rPr>
          <w:rFonts w:ascii="Times New Roman" w:hAnsi="Times New Roman" w:cs="Times New Roman"/>
          <w:sz w:val="24"/>
          <w:szCs w:val="24"/>
          <w:lang w:val="en-CA"/>
        </w:rPr>
        <w:t xml:space="preserve"> to require </w:t>
      </w:r>
      <w:r w:rsidR="00744F3D">
        <w:rPr>
          <w:rFonts w:ascii="Times New Roman" w:hAnsi="Times New Roman" w:cs="Times New Roman"/>
          <w:sz w:val="24"/>
          <w:szCs w:val="24"/>
          <w:lang w:val="en-CA"/>
        </w:rPr>
        <w:t xml:space="preserve">a distinction </w:t>
      </w:r>
      <w:r w:rsidR="00641D99">
        <w:rPr>
          <w:rFonts w:ascii="Times New Roman" w:hAnsi="Times New Roman" w:cs="Times New Roman"/>
          <w:sz w:val="24"/>
          <w:szCs w:val="24"/>
          <w:lang w:val="en-CA"/>
        </w:rPr>
        <w:t xml:space="preserve">between preventive and punitive measures. Another distinction has to be made, namely whether or not the measure concerned implies the determination of a civil right or obligation within the meaning of </w:t>
      </w:r>
      <w:r w:rsidR="00571696">
        <w:rPr>
          <w:rFonts w:ascii="Times New Roman" w:hAnsi="Times New Roman" w:cs="Times New Roman"/>
          <w:sz w:val="24"/>
          <w:szCs w:val="24"/>
          <w:lang w:val="en-CA"/>
        </w:rPr>
        <w:t>Article</w:t>
      </w:r>
      <w:r w:rsidR="00CA470E">
        <w:rPr>
          <w:rFonts w:ascii="Times New Roman" w:hAnsi="Times New Roman" w:cs="Times New Roman"/>
          <w:sz w:val="24"/>
          <w:szCs w:val="24"/>
          <w:lang w:val="en-CA"/>
        </w:rPr>
        <w:t xml:space="preserve"> 6 ECHR</w:t>
      </w:r>
      <w:r w:rsidR="00CC56F9">
        <w:rPr>
          <w:rFonts w:ascii="Times New Roman" w:hAnsi="Times New Roman" w:cs="Times New Roman"/>
          <w:sz w:val="24"/>
          <w:szCs w:val="24"/>
          <w:lang w:val="en-CA"/>
        </w:rPr>
        <w:t>. Thus, e</w:t>
      </w:r>
      <w:r w:rsidR="00641D99">
        <w:rPr>
          <w:rFonts w:ascii="Times New Roman" w:hAnsi="Times New Roman" w:cs="Times New Roman"/>
          <w:sz w:val="24"/>
          <w:szCs w:val="24"/>
          <w:lang w:val="en-CA"/>
        </w:rPr>
        <w:t xml:space="preserve">ven if the prohibition of place is preventive in object and not punitive, it might be possible that </w:t>
      </w:r>
      <w:r w:rsidR="00567DC5">
        <w:rPr>
          <w:rFonts w:ascii="Times New Roman" w:hAnsi="Times New Roman" w:cs="Times New Roman"/>
          <w:sz w:val="24"/>
          <w:szCs w:val="24"/>
          <w:lang w:val="en-CA"/>
        </w:rPr>
        <w:t xml:space="preserve">it </w:t>
      </w:r>
      <w:r w:rsidR="00B07DCA">
        <w:rPr>
          <w:rFonts w:ascii="Times New Roman" w:hAnsi="Times New Roman" w:cs="Times New Roman"/>
          <w:sz w:val="24"/>
          <w:szCs w:val="24"/>
          <w:lang w:val="en-CA"/>
        </w:rPr>
        <w:t xml:space="preserve">must be regarded as </w:t>
      </w:r>
      <w:r w:rsidR="00641D99">
        <w:rPr>
          <w:rFonts w:ascii="Times New Roman" w:hAnsi="Times New Roman" w:cs="Times New Roman"/>
          <w:sz w:val="24"/>
          <w:szCs w:val="24"/>
          <w:lang w:val="en-CA"/>
        </w:rPr>
        <w:t xml:space="preserve">civil </w:t>
      </w:r>
      <w:r w:rsidR="00B07DCA">
        <w:rPr>
          <w:rFonts w:ascii="Times New Roman" w:hAnsi="Times New Roman" w:cs="Times New Roman"/>
          <w:sz w:val="24"/>
          <w:szCs w:val="24"/>
          <w:lang w:val="en-CA"/>
        </w:rPr>
        <w:t xml:space="preserve">for the purposes of </w:t>
      </w:r>
      <w:r w:rsidR="00571696">
        <w:rPr>
          <w:rFonts w:ascii="Times New Roman" w:hAnsi="Times New Roman" w:cs="Times New Roman"/>
          <w:sz w:val="24"/>
          <w:szCs w:val="24"/>
          <w:lang w:val="en-CA"/>
        </w:rPr>
        <w:t>Article</w:t>
      </w:r>
      <w:r w:rsidR="00641D99">
        <w:rPr>
          <w:rFonts w:ascii="Times New Roman" w:hAnsi="Times New Roman" w:cs="Times New Roman"/>
          <w:sz w:val="24"/>
          <w:szCs w:val="24"/>
          <w:lang w:val="en-CA"/>
        </w:rPr>
        <w:t xml:space="preserve"> 6</w:t>
      </w:r>
      <w:r w:rsidR="00CC56F9">
        <w:rPr>
          <w:rFonts w:ascii="Times New Roman" w:hAnsi="Times New Roman" w:cs="Times New Roman"/>
          <w:sz w:val="24"/>
          <w:szCs w:val="24"/>
          <w:lang w:val="en-CA"/>
        </w:rPr>
        <w:t xml:space="preserve">, as discussed above. </w:t>
      </w:r>
      <w:r w:rsidR="001859B3" w:rsidRPr="003C33EA">
        <w:rPr>
          <w:rFonts w:ascii="Times New Roman" w:hAnsi="Times New Roman" w:cs="Times New Roman"/>
          <w:sz w:val="24"/>
          <w:szCs w:val="24"/>
          <w:lang w:val="en-CA"/>
        </w:rPr>
        <w:t xml:space="preserve">Although the Strasbourg Court’s case law is still unclear </w:t>
      </w:r>
      <w:r w:rsidR="00274C34" w:rsidRPr="003C33EA">
        <w:rPr>
          <w:rFonts w:ascii="Times New Roman" w:hAnsi="Times New Roman" w:cs="Times New Roman"/>
          <w:sz w:val="24"/>
          <w:szCs w:val="24"/>
          <w:lang w:val="en-CA"/>
        </w:rPr>
        <w:t>on</w:t>
      </w:r>
      <w:r w:rsidR="001859B3" w:rsidRPr="003C33EA">
        <w:rPr>
          <w:rFonts w:ascii="Times New Roman" w:hAnsi="Times New Roman" w:cs="Times New Roman"/>
          <w:sz w:val="24"/>
          <w:szCs w:val="24"/>
          <w:lang w:val="en-CA"/>
        </w:rPr>
        <w:t xml:space="preserve"> this point, inspiration can be found in UK case law. After all, the UK courts have already confirmed the classification as civil within the meaning of Article 6 </w:t>
      </w:r>
      <w:r w:rsidR="003C33EA">
        <w:rPr>
          <w:rFonts w:ascii="Times New Roman" w:hAnsi="Times New Roman" w:cs="Times New Roman"/>
          <w:sz w:val="24"/>
          <w:szCs w:val="24"/>
          <w:lang w:val="en-CA"/>
        </w:rPr>
        <w:t>as</w:t>
      </w:r>
      <w:r w:rsidR="00863F5E" w:rsidRPr="003C33EA">
        <w:rPr>
          <w:rFonts w:ascii="Times New Roman" w:hAnsi="Times New Roman" w:cs="Times New Roman"/>
          <w:sz w:val="24"/>
          <w:szCs w:val="24"/>
          <w:lang w:val="en-CA"/>
        </w:rPr>
        <w:t xml:space="preserve"> to </w:t>
      </w:r>
      <w:r w:rsidR="00CC56F9" w:rsidRPr="003C33EA">
        <w:rPr>
          <w:rFonts w:ascii="Times New Roman" w:hAnsi="Times New Roman" w:cs="Times New Roman"/>
          <w:sz w:val="24"/>
          <w:szCs w:val="24"/>
          <w:lang w:val="en-CA"/>
        </w:rPr>
        <w:t>certain</w:t>
      </w:r>
      <w:r w:rsidR="00863F5E" w:rsidRPr="003C33EA">
        <w:rPr>
          <w:rFonts w:ascii="Times New Roman" w:hAnsi="Times New Roman" w:cs="Times New Roman"/>
          <w:sz w:val="24"/>
          <w:szCs w:val="24"/>
          <w:lang w:val="en-CA"/>
        </w:rPr>
        <w:t xml:space="preserve"> freedom-restricting p</w:t>
      </w:r>
      <w:r w:rsidR="00CC56F9" w:rsidRPr="003C33EA">
        <w:rPr>
          <w:rFonts w:ascii="Times New Roman" w:hAnsi="Times New Roman" w:cs="Times New Roman"/>
          <w:sz w:val="24"/>
          <w:szCs w:val="24"/>
          <w:lang w:val="en-CA"/>
        </w:rPr>
        <w:t>ublic order powers</w:t>
      </w:r>
      <w:r w:rsidR="00CC56F9" w:rsidRPr="003C33EA">
        <w:rPr>
          <w:rStyle w:val="Odwoanieprzypisudolnego"/>
          <w:rFonts w:ascii="Times New Roman" w:hAnsi="Times New Roman" w:cs="Times New Roman"/>
          <w:sz w:val="24"/>
          <w:szCs w:val="24"/>
          <w:lang w:val="en-CA"/>
        </w:rPr>
        <w:footnoteReference w:id="84"/>
      </w:r>
      <w:r w:rsidR="00863F5E" w:rsidRPr="003C33EA">
        <w:rPr>
          <w:rFonts w:ascii="Times New Roman" w:hAnsi="Times New Roman" w:cs="Times New Roman"/>
          <w:sz w:val="24"/>
          <w:szCs w:val="24"/>
          <w:lang w:val="en-CA"/>
        </w:rPr>
        <w:t>.</w:t>
      </w:r>
      <w:r w:rsidR="00863F5E">
        <w:rPr>
          <w:rFonts w:ascii="Times New Roman" w:hAnsi="Times New Roman" w:cs="Times New Roman"/>
          <w:sz w:val="24"/>
          <w:szCs w:val="24"/>
          <w:lang w:val="en-CA"/>
        </w:rPr>
        <w:t xml:space="preserve"> </w:t>
      </w:r>
      <w:r w:rsidR="00932555" w:rsidRPr="00315D20">
        <w:rPr>
          <w:rFonts w:ascii="Times New Roman" w:hAnsi="Times New Roman" w:cs="Times New Roman"/>
          <w:sz w:val="24"/>
          <w:szCs w:val="24"/>
          <w:lang w:val="en-US"/>
        </w:rPr>
        <w:t xml:space="preserve">It is thus not unconceivable that </w:t>
      </w:r>
      <w:r w:rsidR="00932555">
        <w:rPr>
          <w:rFonts w:ascii="Times New Roman" w:hAnsi="Times New Roman" w:cs="Times New Roman"/>
          <w:sz w:val="24"/>
          <w:szCs w:val="24"/>
          <w:lang w:val="en-US"/>
        </w:rPr>
        <w:t>the prohibition of place</w:t>
      </w:r>
      <w:r w:rsidR="00932555" w:rsidRPr="00315D20">
        <w:rPr>
          <w:rFonts w:ascii="Times New Roman" w:hAnsi="Times New Roman" w:cs="Times New Roman"/>
          <w:sz w:val="24"/>
          <w:szCs w:val="24"/>
          <w:lang w:val="en-US"/>
        </w:rPr>
        <w:t>, which is also a public order power restricting the individual in his or her free movement, is to be regarded as civil within the meaning of Article 6</w:t>
      </w:r>
      <w:r w:rsidR="00932555">
        <w:rPr>
          <w:rFonts w:ascii="Times New Roman" w:hAnsi="Times New Roman" w:cs="Times New Roman"/>
          <w:sz w:val="24"/>
          <w:szCs w:val="24"/>
          <w:lang w:val="en-US"/>
        </w:rPr>
        <w:t xml:space="preserve">. </w:t>
      </w:r>
      <w:r w:rsidR="00B07DCA">
        <w:rPr>
          <w:rFonts w:ascii="Times New Roman" w:hAnsi="Times New Roman" w:cs="Times New Roman"/>
          <w:sz w:val="24"/>
          <w:szCs w:val="24"/>
          <w:lang w:val="en-CA"/>
        </w:rPr>
        <w:t xml:space="preserve">If </w:t>
      </w:r>
      <w:r w:rsidR="00A85930">
        <w:rPr>
          <w:rFonts w:ascii="Times New Roman" w:hAnsi="Times New Roman" w:cs="Times New Roman"/>
          <w:sz w:val="24"/>
          <w:szCs w:val="24"/>
          <w:lang w:val="en-CA"/>
        </w:rPr>
        <w:t xml:space="preserve">this is </w:t>
      </w:r>
      <w:r w:rsidR="00315D20">
        <w:rPr>
          <w:rFonts w:ascii="Times New Roman" w:hAnsi="Times New Roman" w:cs="Times New Roman"/>
          <w:sz w:val="24"/>
          <w:szCs w:val="24"/>
          <w:lang w:val="en-CA"/>
        </w:rPr>
        <w:t>t</w:t>
      </w:r>
      <w:r w:rsidR="00A85930">
        <w:rPr>
          <w:rFonts w:ascii="Times New Roman" w:hAnsi="Times New Roman" w:cs="Times New Roman"/>
          <w:sz w:val="24"/>
          <w:szCs w:val="24"/>
          <w:lang w:val="en-CA"/>
        </w:rPr>
        <w:t>he case</w:t>
      </w:r>
      <w:r w:rsidR="00B07DCA">
        <w:rPr>
          <w:rFonts w:ascii="Times New Roman" w:hAnsi="Times New Roman" w:cs="Times New Roman"/>
          <w:sz w:val="24"/>
          <w:szCs w:val="24"/>
          <w:lang w:val="en-CA"/>
        </w:rPr>
        <w:t xml:space="preserve">, </w:t>
      </w:r>
      <w:r w:rsidR="00932555">
        <w:rPr>
          <w:rFonts w:ascii="Times New Roman" w:hAnsi="Times New Roman" w:cs="Times New Roman"/>
          <w:sz w:val="24"/>
          <w:szCs w:val="24"/>
          <w:lang w:val="en-CA"/>
        </w:rPr>
        <w:t>it</w:t>
      </w:r>
      <w:r w:rsidR="00315D20">
        <w:rPr>
          <w:rFonts w:ascii="Times New Roman" w:hAnsi="Times New Roman" w:cs="Times New Roman"/>
          <w:sz w:val="24"/>
          <w:szCs w:val="24"/>
          <w:lang w:val="en-CA"/>
        </w:rPr>
        <w:t xml:space="preserve"> </w:t>
      </w:r>
      <w:r w:rsidR="00CC56F9">
        <w:rPr>
          <w:rFonts w:ascii="Times New Roman" w:hAnsi="Times New Roman" w:cs="Times New Roman"/>
          <w:sz w:val="24"/>
          <w:szCs w:val="24"/>
          <w:lang w:val="en-CA"/>
        </w:rPr>
        <w:t>must meet the</w:t>
      </w:r>
      <w:r w:rsidR="00641D99">
        <w:rPr>
          <w:rFonts w:ascii="Times New Roman" w:hAnsi="Times New Roman" w:cs="Times New Roman"/>
          <w:sz w:val="24"/>
          <w:szCs w:val="24"/>
          <w:lang w:val="en-CA"/>
        </w:rPr>
        <w:t xml:space="preserve"> criminal ‘means-facts’ test</w:t>
      </w:r>
      <w:r w:rsidR="00CC56F9">
        <w:rPr>
          <w:rFonts w:ascii="Times New Roman" w:hAnsi="Times New Roman" w:cs="Times New Roman"/>
          <w:sz w:val="24"/>
          <w:szCs w:val="24"/>
          <w:lang w:val="en-CA"/>
        </w:rPr>
        <w:t xml:space="preserve"> as well</w:t>
      </w:r>
      <w:r w:rsidR="00641D99">
        <w:rPr>
          <w:rFonts w:ascii="Times New Roman" w:hAnsi="Times New Roman" w:cs="Times New Roman"/>
          <w:sz w:val="24"/>
          <w:szCs w:val="24"/>
          <w:lang w:val="en-CA"/>
        </w:rPr>
        <w:t xml:space="preserve">, </w:t>
      </w:r>
      <w:r w:rsidR="00CC56F9">
        <w:rPr>
          <w:rFonts w:ascii="Times New Roman" w:hAnsi="Times New Roman" w:cs="Times New Roman"/>
          <w:sz w:val="24"/>
          <w:szCs w:val="24"/>
          <w:lang w:val="en-CA"/>
        </w:rPr>
        <w:t xml:space="preserve">since this test </w:t>
      </w:r>
      <w:r w:rsidR="00641D99">
        <w:rPr>
          <w:rFonts w:ascii="Times New Roman" w:hAnsi="Times New Roman" w:cs="Times New Roman"/>
          <w:sz w:val="24"/>
          <w:szCs w:val="24"/>
          <w:lang w:val="en-CA"/>
        </w:rPr>
        <w:t xml:space="preserve">is </w:t>
      </w:r>
      <w:r w:rsidR="00CC56F9">
        <w:rPr>
          <w:rFonts w:ascii="Times New Roman" w:hAnsi="Times New Roman" w:cs="Times New Roman"/>
          <w:sz w:val="24"/>
          <w:szCs w:val="24"/>
          <w:lang w:val="en-CA"/>
        </w:rPr>
        <w:t xml:space="preserve">also </w:t>
      </w:r>
      <w:r w:rsidR="00641D99">
        <w:rPr>
          <w:rFonts w:ascii="Times New Roman" w:hAnsi="Times New Roman" w:cs="Times New Roman"/>
          <w:sz w:val="24"/>
          <w:szCs w:val="24"/>
          <w:lang w:val="en-CA"/>
        </w:rPr>
        <w:t xml:space="preserve">applicable to </w:t>
      </w:r>
      <w:r w:rsidR="00CC56F9">
        <w:rPr>
          <w:rFonts w:ascii="Times New Roman" w:hAnsi="Times New Roman" w:cs="Times New Roman"/>
          <w:sz w:val="24"/>
          <w:szCs w:val="24"/>
          <w:lang w:val="en-CA"/>
        </w:rPr>
        <w:t>civil matters</w:t>
      </w:r>
      <w:r w:rsidR="00641D99">
        <w:rPr>
          <w:rFonts w:ascii="Times New Roman" w:hAnsi="Times New Roman" w:cs="Times New Roman"/>
          <w:sz w:val="24"/>
          <w:szCs w:val="24"/>
          <w:lang w:val="en-CA"/>
        </w:rPr>
        <w:t>.</w:t>
      </w:r>
    </w:p>
    <w:p w14:paraId="172BD26F" w14:textId="68114A94" w:rsidR="004D398C" w:rsidRDefault="00B07DCA" w:rsidP="003006AD">
      <w:pPr>
        <w:jc w:val="both"/>
        <w:rPr>
          <w:rFonts w:ascii="Times New Roman" w:hAnsi="Times New Roman" w:cs="Times New Roman"/>
          <w:sz w:val="24"/>
          <w:szCs w:val="24"/>
          <w:lang w:val="en-CA"/>
        </w:rPr>
      </w:pPr>
      <w:r>
        <w:rPr>
          <w:rFonts w:ascii="Times New Roman" w:hAnsi="Times New Roman" w:cs="Times New Roman"/>
          <w:sz w:val="24"/>
          <w:szCs w:val="24"/>
          <w:lang w:val="en-CA"/>
        </w:rPr>
        <w:t>This brings us to the second remark. I</w:t>
      </w:r>
      <w:r w:rsidR="0089303A">
        <w:rPr>
          <w:rFonts w:ascii="Times New Roman" w:hAnsi="Times New Roman" w:cs="Times New Roman"/>
          <w:sz w:val="24"/>
          <w:szCs w:val="24"/>
          <w:lang w:val="en-CA"/>
        </w:rPr>
        <w:t xml:space="preserve">t does not </w:t>
      </w:r>
      <w:r w:rsidR="00641D99">
        <w:rPr>
          <w:rFonts w:ascii="Times New Roman" w:hAnsi="Times New Roman" w:cs="Times New Roman"/>
          <w:sz w:val="24"/>
          <w:szCs w:val="24"/>
          <w:lang w:val="en-CA"/>
        </w:rPr>
        <w:t>suffice</w:t>
      </w:r>
      <w:r w:rsidR="0089303A">
        <w:rPr>
          <w:rFonts w:ascii="Times New Roman" w:hAnsi="Times New Roman" w:cs="Times New Roman"/>
          <w:sz w:val="24"/>
          <w:szCs w:val="24"/>
          <w:lang w:val="en-CA"/>
        </w:rPr>
        <w:t xml:space="preserve"> that the Council of State</w:t>
      </w:r>
      <w:r w:rsidR="00744F3D">
        <w:rPr>
          <w:rFonts w:ascii="Times New Roman" w:hAnsi="Times New Roman" w:cs="Times New Roman"/>
          <w:sz w:val="24"/>
          <w:szCs w:val="24"/>
          <w:lang w:val="en-CA"/>
        </w:rPr>
        <w:t xml:space="preserve">, </w:t>
      </w:r>
      <w:r w:rsidR="00641D99">
        <w:rPr>
          <w:rFonts w:ascii="Times New Roman" w:hAnsi="Times New Roman" w:cs="Times New Roman"/>
          <w:sz w:val="24"/>
          <w:szCs w:val="24"/>
          <w:lang w:val="en-CA"/>
        </w:rPr>
        <w:t>as well as</w:t>
      </w:r>
      <w:r w:rsidR="0089303A">
        <w:rPr>
          <w:rFonts w:ascii="Times New Roman" w:hAnsi="Times New Roman" w:cs="Times New Roman"/>
          <w:sz w:val="24"/>
          <w:szCs w:val="24"/>
          <w:lang w:val="en-CA"/>
        </w:rPr>
        <w:t xml:space="preserve"> </w:t>
      </w:r>
      <w:r w:rsidR="00A85930">
        <w:rPr>
          <w:rFonts w:ascii="Times New Roman" w:hAnsi="Times New Roman" w:cs="Times New Roman"/>
          <w:sz w:val="24"/>
          <w:szCs w:val="24"/>
          <w:lang w:val="en-CA"/>
        </w:rPr>
        <w:t>a</w:t>
      </w:r>
      <w:r w:rsidR="0089303A">
        <w:rPr>
          <w:rFonts w:ascii="Times New Roman" w:hAnsi="Times New Roman" w:cs="Times New Roman"/>
          <w:sz w:val="24"/>
          <w:szCs w:val="24"/>
          <w:lang w:val="en-CA"/>
        </w:rPr>
        <w:t xml:space="preserve"> </w:t>
      </w:r>
      <w:r w:rsidR="0089303A" w:rsidRPr="00A85930">
        <w:rPr>
          <w:rFonts w:ascii="Times New Roman" w:hAnsi="Times New Roman" w:cs="Times New Roman"/>
          <w:sz w:val="24"/>
          <w:szCs w:val="24"/>
          <w:lang w:val="en-CA"/>
        </w:rPr>
        <w:t xml:space="preserve">mayor </w:t>
      </w:r>
      <w:r w:rsidR="0089303A">
        <w:rPr>
          <w:rFonts w:ascii="Times New Roman" w:hAnsi="Times New Roman" w:cs="Times New Roman"/>
          <w:sz w:val="24"/>
          <w:szCs w:val="24"/>
          <w:lang w:val="en-CA"/>
        </w:rPr>
        <w:t>when imposing the prohibition of place</w:t>
      </w:r>
      <w:r w:rsidR="00744F3D">
        <w:rPr>
          <w:rFonts w:ascii="Times New Roman" w:hAnsi="Times New Roman" w:cs="Times New Roman"/>
          <w:sz w:val="24"/>
          <w:szCs w:val="24"/>
          <w:lang w:val="en-CA"/>
        </w:rPr>
        <w:t>,</w:t>
      </w:r>
      <w:r w:rsidR="0089303A">
        <w:rPr>
          <w:rFonts w:ascii="Times New Roman" w:hAnsi="Times New Roman" w:cs="Times New Roman"/>
          <w:sz w:val="24"/>
          <w:szCs w:val="24"/>
          <w:lang w:val="en-CA"/>
        </w:rPr>
        <w:t xml:space="preserve"> takes into account the purpose of the measure in order to </w:t>
      </w:r>
      <w:r w:rsidR="00B85292">
        <w:rPr>
          <w:rFonts w:ascii="Times New Roman" w:hAnsi="Times New Roman" w:cs="Times New Roman"/>
          <w:sz w:val="24"/>
          <w:szCs w:val="24"/>
          <w:lang w:val="en-CA"/>
        </w:rPr>
        <w:t xml:space="preserve">appropriately </w:t>
      </w:r>
      <w:r w:rsidR="00D71DBE">
        <w:rPr>
          <w:rFonts w:ascii="Times New Roman" w:hAnsi="Times New Roman" w:cs="Times New Roman"/>
          <w:sz w:val="24"/>
          <w:szCs w:val="24"/>
          <w:lang w:val="en-CA"/>
        </w:rPr>
        <w:t>determine the applicable proportionality test</w:t>
      </w:r>
      <w:r w:rsidR="0089303A">
        <w:rPr>
          <w:rFonts w:ascii="Times New Roman" w:hAnsi="Times New Roman" w:cs="Times New Roman"/>
          <w:sz w:val="24"/>
          <w:szCs w:val="24"/>
          <w:lang w:val="en-CA"/>
        </w:rPr>
        <w:t xml:space="preserve">. </w:t>
      </w:r>
      <w:r w:rsidR="00921371">
        <w:rPr>
          <w:rFonts w:ascii="Times New Roman" w:hAnsi="Times New Roman" w:cs="Times New Roman"/>
          <w:sz w:val="24"/>
          <w:szCs w:val="24"/>
          <w:lang w:val="en-CA"/>
        </w:rPr>
        <w:t xml:space="preserve">It appears not to be an either-or story, in which the national authorities must apply </w:t>
      </w:r>
      <w:r w:rsidR="00921371" w:rsidRPr="008D55F0">
        <w:rPr>
          <w:rFonts w:ascii="Times New Roman" w:hAnsi="Times New Roman" w:cs="Times New Roman"/>
          <w:i/>
          <w:sz w:val="24"/>
          <w:szCs w:val="24"/>
          <w:lang w:val="en-CA"/>
        </w:rPr>
        <w:t>either</w:t>
      </w:r>
      <w:r w:rsidR="00921371">
        <w:rPr>
          <w:rFonts w:ascii="Times New Roman" w:hAnsi="Times New Roman" w:cs="Times New Roman"/>
          <w:sz w:val="24"/>
          <w:szCs w:val="24"/>
          <w:lang w:val="en-CA"/>
        </w:rPr>
        <w:t xml:space="preserve"> the administrative ‘aims-means-consequences’ test </w:t>
      </w:r>
      <w:r w:rsidR="00921371" w:rsidRPr="008D55F0">
        <w:rPr>
          <w:rFonts w:ascii="Times New Roman" w:hAnsi="Times New Roman" w:cs="Times New Roman"/>
          <w:i/>
          <w:sz w:val="24"/>
          <w:szCs w:val="24"/>
          <w:lang w:val="en-CA"/>
        </w:rPr>
        <w:t>or</w:t>
      </w:r>
      <w:r w:rsidR="00921371">
        <w:rPr>
          <w:rFonts w:ascii="Times New Roman" w:hAnsi="Times New Roman" w:cs="Times New Roman"/>
          <w:sz w:val="24"/>
          <w:szCs w:val="24"/>
          <w:lang w:val="en-CA"/>
        </w:rPr>
        <w:t xml:space="preserve"> the criminal ‘means-facts’ test. It is conceivable that they must take into account multiple proportionality tests at the same time. </w:t>
      </w:r>
      <w:r w:rsidR="0051666C">
        <w:rPr>
          <w:rFonts w:ascii="Times New Roman" w:hAnsi="Times New Roman" w:cs="Times New Roman"/>
          <w:sz w:val="24"/>
          <w:szCs w:val="24"/>
          <w:lang w:val="en-CA"/>
        </w:rPr>
        <w:t xml:space="preserve">After all, even if the prohibition of place is to be regarded as </w:t>
      </w:r>
      <w:r w:rsidR="005E4F3B" w:rsidRPr="00744F3D">
        <w:rPr>
          <w:rFonts w:ascii="Times New Roman" w:hAnsi="Times New Roman" w:cs="Times New Roman"/>
          <w:sz w:val="24"/>
          <w:szCs w:val="24"/>
          <w:lang w:val="en-CA"/>
        </w:rPr>
        <w:t xml:space="preserve">civil within the meaning of </w:t>
      </w:r>
      <w:r w:rsidR="00571696">
        <w:rPr>
          <w:rFonts w:ascii="Times New Roman" w:hAnsi="Times New Roman" w:cs="Times New Roman"/>
          <w:sz w:val="24"/>
          <w:szCs w:val="24"/>
          <w:lang w:val="en-CA"/>
        </w:rPr>
        <w:t>Article</w:t>
      </w:r>
      <w:r w:rsidR="005E4F3B" w:rsidRPr="00744F3D">
        <w:rPr>
          <w:rFonts w:ascii="Times New Roman" w:hAnsi="Times New Roman" w:cs="Times New Roman"/>
          <w:sz w:val="24"/>
          <w:szCs w:val="24"/>
          <w:lang w:val="en-CA"/>
        </w:rPr>
        <w:t xml:space="preserve"> 6 ECHR</w:t>
      </w:r>
      <w:r w:rsidR="001B06AE">
        <w:rPr>
          <w:rFonts w:ascii="Times New Roman" w:hAnsi="Times New Roman" w:cs="Times New Roman"/>
          <w:sz w:val="24"/>
          <w:szCs w:val="24"/>
          <w:lang w:val="en-CA"/>
        </w:rPr>
        <w:t>,</w:t>
      </w:r>
      <w:r w:rsidR="00744F3D" w:rsidRPr="00744F3D">
        <w:rPr>
          <w:rFonts w:ascii="Times New Roman" w:hAnsi="Times New Roman" w:cs="Times New Roman"/>
          <w:sz w:val="24"/>
          <w:szCs w:val="24"/>
          <w:lang w:val="en-CA"/>
        </w:rPr>
        <w:t xml:space="preserve"> or</w:t>
      </w:r>
      <w:r w:rsidR="0051666C">
        <w:rPr>
          <w:rFonts w:ascii="Times New Roman" w:hAnsi="Times New Roman" w:cs="Times New Roman"/>
          <w:sz w:val="24"/>
          <w:szCs w:val="24"/>
          <w:lang w:val="en-CA"/>
        </w:rPr>
        <w:t xml:space="preserve"> </w:t>
      </w:r>
      <w:r w:rsidR="00744F3D">
        <w:rPr>
          <w:rFonts w:ascii="Times New Roman" w:hAnsi="Times New Roman" w:cs="Times New Roman"/>
          <w:sz w:val="24"/>
          <w:szCs w:val="24"/>
          <w:lang w:val="en-CA"/>
        </w:rPr>
        <w:t xml:space="preserve">punitive (under domestic law or within the meaning of </w:t>
      </w:r>
      <w:r w:rsidR="00571696">
        <w:rPr>
          <w:rFonts w:ascii="Times New Roman" w:hAnsi="Times New Roman" w:cs="Times New Roman"/>
          <w:sz w:val="24"/>
          <w:szCs w:val="24"/>
          <w:lang w:val="en-CA"/>
        </w:rPr>
        <w:t>Article</w:t>
      </w:r>
      <w:r w:rsidR="00744F3D">
        <w:rPr>
          <w:rFonts w:ascii="Times New Roman" w:hAnsi="Times New Roman" w:cs="Times New Roman"/>
          <w:sz w:val="24"/>
          <w:szCs w:val="24"/>
          <w:lang w:val="en-CA"/>
        </w:rPr>
        <w:t xml:space="preserve"> 6 ECHR)</w:t>
      </w:r>
      <w:r w:rsidR="005E4F3B">
        <w:rPr>
          <w:rFonts w:ascii="Times New Roman" w:hAnsi="Times New Roman" w:cs="Times New Roman"/>
          <w:sz w:val="24"/>
          <w:szCs w:val="24"/>
          <w:lang w:val="en-CA"/>
        </w:rPr>
        <w:t xml:space="preserve">, </w:t>
      </w:r>
      <w:r w:rsidR="003E6ED7">
        <w:rPr>
          <w:rFonts w:ascii="Times New Roman" w:hAnsi="Times New Roman" w:cs="Times New Roman"/>
          <w:sz w:val="24"/>
          <w:szCs w:val="24"/>
          <w:lang w:val="en-CA"/>
        </w:rPr>
        <w:t xml:space="preserve">it </w:t>
      </w:r>
      <w:r w:rsidR="00A75759">
        <w:rPr>
          <w:rFonts w:ascii="Times New Roman" w:hAnsi="Times New Roman" w:cs="Times New Roman"/>
          <w:sz w:val="24"/>
          <w:szCs w:val="24"/>
          <w:lang w:val="en-CA"/>
        </w:rPr>
        <w:t xml:space="preserve">also interferes with the right to freedom of movement in </w:t>
      </w:r>
      <w:r w:rsidR="00571696">
        <w:rPr>
          <w:rFonts w:ascii="Times New Roman" w:hAnsi="Times New Roman" w:cs="Times New Roman"/>
          <w:sz w:val="24"/>
          <w:szCs w:val="24"/>
          <w:lang w:val="en-CA"/>
        </w:rPr>
        <w:t>Article</w:t>
      </w:r>
      <w:r w:rsidR="00A75759">
        <w:rPr>
          <w:rFonts w:ascii="Times New Roman" w:hAnsi="Times New Roman" w:cs="Times New Roman"/>
          <w:sz w:val="24"/>
          <w:szCs w:val="24"/>
          <w:lang w:val="en-CA"/>
        </w:rPr>
        <w:t xml:space="preserve"> 2 FAP</w:t>
      </w:r>
      <w:r w:rsidR="00744F3D">
        <w:rPr>
          <w:rFonts w:ascii="Times New Roman" w:hAnsi="Times New Roman" w:cs="Times New Roman"/>
          <w:sz w:val="24"/>
          <w:szCs w:val="24"/>
          <w:lang w:val="en-CA"/>
        </w:rPr>
        <w:t>.</w:t>
      </w:r>
      <w:r w:rsidR="00A75759">
        <w:rPr>
          <w:rFonts w:ascii="Times New Roman" w:hAnsi="Times New Roman" w:cs="Times New Roman"/>
          <w:sz w:val="24"/>
          <w:szCs w:val="24"/>
          <w:lang w:val="en-CA"/>
        </w:rPr>
        <w:t xml:space="preserve"> By consequence, </w:t>
      </w:r>
      <w:r w:rsidR="00F741CC">
        <w:rPr>
          <w:rFonts w:ascii="Times New Roman" w:hAnsi="Times New Roman" w:cs="Times New Roman"/>
          <w:sz w:val="24"/>
          <w:szCs w:val="24"/>
          <w:lang w:val="en-CA"/>
        </w:rPr>
        <w:t xml:space="preserve">in that case, </w:t>
      </w:r>
      <w:r w:rsidR="00A75759">
        <w:rPr>
          <w:rFonts w:ascii="Times New Roman" w:hAnsi="Times New Roman" w:cs="Times New Roman"/>
          <w:sz w:val="24"/>
          <w:szCs w:val="24"/>
          <w:lang w:val="en-CA"/>
        </w:rPr>
        <w:t xml:space="preserve">the </w:t>
      </w:r>
      <w:r w:rsidR="00B85292">
        <w:rPr>
          <w:rFonts w:ascii="Times New Roman" w:hAnsi="Times New Roman" w:cs="Times New Roman"/>
          <w:sz w:val="24"/>
          <w:szCs w:val="24"/>
          <w:lang w:val="en-CA"/>
        </w:rPr>
        <w:t xml:space="preserve">national authorities </w:t>
      </w:r>
      <w:r w:rsidR="00A75759">
        <w:rPr>
          <w:rFonts w:ascii="Times New Roman" w:hAnsi="Times New Roman" w:cs="Times New Roman"/>
          <w:sz w:val="24"/>
          <w:szCs w:val="24"/>
          <w:lang w:val="en-CA"/>
        </w:rPr>
        <w:t>must not only take into account the criminal ‘means-facts’ test, but also the above-mentioned ‘aim</w:t>
      </w:r>
      <w:r w:rsidR="00896269">
        <w:rPr>
          <w:rFonts w:ascii="Times New Roman" w:hAnsi="Times New Roman" w:cs="Times New Roman"/>
          <w:sz w:val="24"/>
          <w:szCs w:val="24"/>
          <w:lang w:val="en-CA"/>
        </w:rPr>
        <w:t>s</w:t>
      </w:r>
      <w:r w:rsidR="00A75759">
        <w:rPr>
          <w:rFonts w:ascii="Times New Roman" w:hAnsi="Times New Roman" w:cs="Times New Roman"/>
          <w:sz w:val="24"/>
          <w:szCs w:val="24"/>
          <w:lang w:val="en-CA"/>
        </w:rPr>
        <w:t>-means-consequences’ test</w:t>
      </w:r>
      <w:r w:rsidR="00F741CC">
        <w:rPr>
          <w:rFonts w:ascii="Times New Roman" w:hAnsi="Times New Roman" w:cs="Times New Roman"/>
          <w:sz w:val="24"/>
          <w:szCs w:val="24"/>
          <w:lang w:val="en-CA"/>
        </w:rPr>
        <w:t xml:space="preserve">, so that the imposed prohibition of place is compliant with </w:t>
      </w:r>
      <w:r w:rsidR="00571696">
        <w:rPr>
          <w:rFonts w:ascii="Times New Roman" w:hAnsi="Times New Roman" w:cs="Times New Roman"/>
          <w:sz w:val="24"/>
          <w:szCs w:val="24"/>
          <w:lang w:val="en-CA"/>
        </w:rPr>
        <w:t>Article</w:t>
      </w:r>
      <w:r w:rsidR="00F741CC">
        <w:rPr>
          <w:rFonts w:ascii="Times New Roman" w:hAnsi="Times New Roman" w:cs="Times New Roman"/>
          <w:sz w:val="24"/>
          <w:szCs w:val="24"/>
          <w:lang w:val="en-CA"/>
        </w:rPr>
        <w:t xml:space="preserve"> 2 FAP</w:t>
      </w:r>
      <w:r w:rsidR="00A75759">
        <w:rPr>
          <w:rFonts w:ascii="Times New Roman" w:hAnsi="Times New Roman" w:cs="Times New Roman"/>
          <w:sz w:val="24"/>
          <w:szCs w:val="24"/>
          <w:lang w:val="en-CA"/>
        </w:rPr>
        <w:t xml:space="preserve">. </w:t>
      </w:r>
    </w:p>
    <w:p w14:paraId="2000D320" w14:textId="21D786E1" w:rsidR="007524BB" w:rsidRDefault="00F868A0" w:rsidP="003006AD">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We turn now to the </w:t>
      </w:r>
      <w:r w:rsidR="004D398C">
        <w:rPr>
          <w:rFonts w:ascii="Times New Roman" w:hAnsi="Times New Roman" w:cs="Times New Roman"/>
          <w:sz w:val="24"/>
          <w:szCs w:val="24"/>
          <w:lang w:val="en-CA"/>
        </w:rPr>
        <w:t>content of the propo</w:t>
      </w:r>
      <w:r>
        <w:rPr>
          <w:rFonts w:ascii="Times New Roman" w:hAnsi="Times New Roman" w:cs="Times New Roman"/>
          <w:sz w:val="24"/>
          <w:szCs w:val="24"/>
          <w:lang w:val="en-CA"/>
        </w:rPr>
        <w:t>rtionality principle in UK case law.</w:t>
      </w:r>
    </w:p>
    <w:p w14:paraId="75E1FC42" w14:textId="77777777" w:rsidR="00781035" w:rsidRPr="00E90012" w:rsidRDefault="00781035" w:rsidP="00935838">
      <w:pPr>
        <w:rPr>
          <w:lang w:val="en-CA"/>
        </w:rPr>
      </w:pPr>
    </w:p>
    <w:p w14:paraId="50542A45" w14:textId="77777777" w:rsidR="00311269" w:rsidRDefault="00311269" w:rsidP="00311269">
      <w:pPr>
        <w:rPr>
          <w:lang w:val="en-US"/>
        </w:rPr>
      </w:pPr>
      <w:bookmarkStart w:id="12" w:name="_Toc453965902"/>
    </w:p>
    <w:p w14:paraId="347E706D" w14:textId="148DE430" w:rsidR="005B39BB" w:rsidRDefault="00CB21A9" w:rsidP="00D8481D">
      <w:pPr>
        <w:pStyle w:val="Nagwek2"/>
        <w:rPr>
          <w:lang w:val="en-US"/>
        </w:rPr>
      </w:pPr>
      <w:bookmarkStart w:id="13" w:name="_Toc462591612"/>
      <w:r w:rsidRPr="00175260">
        <w:rPr>
          <w:lang w:val="en-US"/>
        </w:rPr>
        <w:t xml:space="preserve">THE </w:t>
      </w:r>
      <w:r w:rsidR="003B4057" w:rsidRPr="00175260">
        <w:rPr>
          <w:lang w:val="en-US"/>
        </w:rPr>
        <w:t>PROPORTIONALITY</w:t>
      </w:r>
      <w:r w:rsidRPr="00175260">
        <w:rPr>
          <w:lang w:val="en-US"/>
        </w:rPr>
        <w:t xml:space="preserve"> PRINCIPLE</w:t>
      </w:r>
      <w:r w:rsidR="003B4057" w:rsidRPr="00175260">
        <w:rPr>
          <w:lang w:val="en-US"/>
        </w:rPr>
        <w:t xml:space="preserve"> IN </w:t>
      </w:r>
      <w:r w:rsidR="00AF2FE6">
        <w:rPr>
          <w:lang w:val="en-US"/>
        </w:rPr>
        <w:t xml:space="preserve">THE </w:t>
      </w:r>
      <w:r w:rsidR="00090EE7" w:rsidRPr="00175260">
        <w:rPr>
          <w:lang w:val="en-US"/>
        </w:rPr>
        <w:t>UK CASE LAW</w:t>
      </w:r>
      <w:bookmarkEnd w:id="12"/>
      <w:bookmarkEnd w:id="13"/>
    </w:p>
    <w:p w14:paraId="71ABD7CB" w14:textId="77777777" w:rsidR="002118AC" w:rsidRPr="00AA103E" w:rsidRDefault="002118AC" w:rsidP="002118AC">
      <w:pPr>
        <w:rPr>
          <w:lang w:val="en-US"/>
        </w:rPr>
      </w:pPr>
    </w:p>
    <w:p w14:paraId="3872F360" w14:textId="2277CEA5" w:rsidR="00561856" w:rsidRDefault="00EA5AA9" w:rsidP="00781035">
      <w:pPr>
        <w:pStyle w:val="Tekstprzypisudolnego"/>
        <w:spacing w:line="276" w:lineRule="auto"/>
        <w:jc w:val="both"/>
        <w:rPr>
          <w:rFonts w:ascii="Times New Roman" w:hAnsi="Times New Roman" w:cs="Times New Roman"/>
          <w:sz w:val="24"/>
          <w:szCs w:val="24"/>
          <w:lang w:val="en-US"/>
        </w:rPr>
      </w:pPr>
      <w:r w:rsidRPr="00A85930">
        <w:rPr>
          <w:rFonts w:ascii="Times New Roman" w:hAnsi="Times New Roman" w:cs="Times New Roman"/>
          <w:sz w:val="24"/>
          <w:szCs w:val="24"/>
          <w:lang w:val="en-US"/>
        </w:rPr>
        <w:t>W</w:t>
      </w:r>
      <w:r w:rsidR="000E0273" w:rsidRPr="00A85930">
        <w:rPr>
          <w:rFonts w:ascii="Times New Roman" w:hAnsi="Times New Roman" w:cs="Times New Roman"/>
          <w:sz w:val="24"/>
          <w:szCs w:val="24"/>
          <w:lang w:val="en-US"/>
        </w:rPr>
        <w:t xml:space="preserve">hen the State imposes a measure that restricts </w:t>
      </w:r>
      <w:r w:rsidR="00A85930" w:rsidRPr="00A85930">
        <w:rPr>
          <w:rFonts w:ascii="Times New Roman" w:hAnsi="Times New Roman" w:cs="Times New Roman"/>
          <w:sz w:val="24"/>
          <w:szCs w:val="24"/>
          <w:lang w:val="en-US"/>
        </w:rPr>
        <w:t>the individual in his or her</w:t>
      </w:r>
      <w:r w:rsidR="000E0273" w:rsidRPr="00A85930">
        <w:rPr>
          <w:rFonts w:ascii="Times New Roman" w:hAnsi="Times New Roman" w:cs="Times New Roman"/>
          <w:sz w:val="24"/>
          <w:szCs w:val="24"/>
          <w:lang w:val="en-US"/>
        </w:rPr>
        <w:t xml:space="preserve"> Co</w:t>
      </w:r>
      <w:r w:rsidR="007514A6" w:rsidRPr="00A85930">
        <w:rPr>
          <w:rFonts w:ascii="Times New Roman" w:hAnsi="Times New Roman" w:cs="Times New Roman"/>
          <w:sz w:val="24"/>
          <w:szCs w:val="24"/>
          <w:lang w:val="en-US"/>
        </w:rPr>
        <w:t>n</w:t>
      </w:r>
      <w:r w:rsidR="00A85930" w:rsidRPr="00A85930">
        <w:rPr>
          <w:rFonts w:ascii="Times New Roman" w:hAnsi="Times New Roman" w:cs="Times New Roman"/>
          <w:sz w:val="24"/>
          <w:szCs w:val="24"/>
          <w:lang w:val="en-US"/>
        </w:rPr>
        <w:t>vention rights</w:t>
      </w:r>
      <w:r w:rsidR="00C91399" w:rsidRPr="00A85930">
        <w:rPr>
          <w:rFonts w:ascii="Times New Roman" w:hAnsi="Times New Roman" w:cs="Times New Roman"/>
          <w:sz w:val="24"/>
          <w:szCs w:val="24"/>
          <w:lang w:val="en-US"/>
        </w:rPr>
        <w:t>,</w:t>
      </w:r>
      <w:r w:rsidR="00C91399">
        <w:rPr>
          <w:rFonts w:ascii="Times New Roman" w:hAnsi="Times New Roman" w:cs="Times New Roman"/>
          <w:sz w:val="24"/>
          <w:szCs w:val="24"/>
          <w:lang w:val="en-US"/>
        </w:rPr>
        <w:t xml:space="preserve"> </w:t>
      </w:r>
      <w:r w:rsidR="006A4142" w:rsidRPr="00CC6EA8">
        <w:rPr>
          <w:rFonts w:ascii="Times New Roman" w:hAnsi="Times New Roman" w:cs="Times New Roman"/>
          <w:sz w:val="24"/>
          <w:szCs w:val="24"/>
          <w:lang w:val="en-US"/>
        </w:rPr>
        <w:t xml:space="preserve">for instance by imposing a direction to leave, </w:t>
      </w:r>
      <w:r w:rsidR="000E0273" w:rsidRPr="00CC6EA8">
        <w:rPr>
          <w:rFonts w:ascii="Times New Roman" w:hAnsi="Times New Roman" w:cs="Times New Roman"/>
          <w:sz w:val="24"/>
          <w:szCs w:val="24"/>
          <w:lang w:val="en-US"/>
        </w:rPr>
        <w:t xml:space="preserve">this measure must </w:t>
      </w:r>
      <w:r w:rsidR="00C91399">
        <w:rPr>
          <w:rFonts w:ascii="Times New Roman" w:hAnsi="Times New Roman" w:cs="Times New Roman"/>
          <w:sz w:val="24"/>
          <w:szCs w:val="24"/>
          <w:lang w:val="en-US"/>
        </w:rPr>
        <w:t>meet</w:t>
      </w:r>
      <w:r w:rsidR="00561856" w:rsidRPr="00CC6EA8">
        <w:rPr>
          <w:rFonts w:ascii="Times New Roman" w:hAnsi="Times New Roman" w:cs="Times New Roman"/>
          <w:sz w:val="24"/>
          <w:szCs w:val="24"/>
          <w:lang w:val="en-US"/>
        </w:rPr>
        <w:t xml:space="preserve"> the proportionality test </w:t>
      </w:r>
      <w:r w:rsidR="00561856" w:rsidRPr="00CC6EA8">
        <w:rPr>
          <w:rFonts w:ascii="Times New Roman" w:hAnsi="Times New Roman" w:cs="Times New Roman"/>
          <w:sz w:val="24"/>
          <w:szCs w:val="24"/>
          <w:lang w:val="en-US"/>
        </w:rPr>
        <w:lastRenderedPageBreak/>
        <w:t xml:space="preserve">adopted by the </w:t>
      </w:r>
      <w:r w:rsidR="00561856" w:rsidRPr="00561856">
        <w:rPr>
          <w:rFonts w:ascii="Times New Roman" w:hAnsi="Times New Roman" w:cs="Times New Roman"/>
          <w:sz w:val="24"/>
          <w:szCs w:val="24"/>
          <w:lang w:val="en-US"/>
        </w:rPr>
        <w:t>Strasbourg Court and further developed by the UK courts</w:t>
      </w:r>
      <w:r w:rsidR="00561856" w:rsidRPr="00561856">
        <w:rPr>
          <w:rStyle w:val="Odwoanieprzypisudolnego"/>
          <w:rFonts w:ascii="Times New Roman" w:hAnsi="Times New Roman" w:cs="Times New Roman"/>
          <w:sz w:val="24"/>
          <w:szCs w:val="24"/>
          <w:lang w:val="en-US"/>
        </w:rPr>
        <w:footnoteReference w:id="85"/>
      </w:r>
      <w:r w:rsidR="00561856" w:rsidRPr="00561856">
        <w:rPr>
          <w:rFonts w:ascii="Times New Roman" w:hAnsi="Times New Roman" w:cs="Times New Roman"/>
          <w:sz w:val="24"/>
          <w:szCs w:val="24"/>
          <w:lang w:val="en-US"/>
        </w:rPr>
        <w:t>.</w:t>
      </w:r>
      <w:r w:rsidR="007514A6" w:rsidRPr="00561856">
        <w:rPr>
          <w:rFonts w:ascii="Times New Roman" w:hAnsi="Times New Roman" w:cs="Times New Roman"/>
          <w:sz w:val="24"/>
          <w:szCs w:val="24"/>
          <w:lang w:val="en-US"/>
        </w:rPr>
        <w:t xml:space="preserve"> </w:t>
      </w:r>
      <w:r w:rsidR="00067B1C" w:rsidRPr="00561856">
        <w:rPr>
          <w:rFonts w:ascii="Times New Roman" w:hAnsi="Times New Roman" w:cs="Times New Roman"/>
          <w:sz w:val="24"/>
          <w:szCs w:val="24"/>
          <w:lang w:val="en-US"/>
        </w:rPr>
        <w:t>A</w:t>
      </w:r>
      <w:r w:rsidR="0051666C">
        <w:rPr>
          <w:rFonts w:ascii="Times New Roman" w:hAnsi="Times New Roman" w:cs="Times New Roman"/>
          <w:sz w:val="24"/>
          <w:szCs w:val="24"/>
          <w:lang w:val="en-US"/>
        </w:rPr>
        <w:t>lthough S</w:t>
      </w:r>
      <w:r w:rsidR="00F868A0" w:rsidRPr="00561856">
        <w:rPr>
          <w:rFonts w:ascii="Times New Roman" w:hAnsi="Times New Roman" w:cs="Times New Roman"/>
          <w:sz w:val="24"/>
          <w:szCs w:val="24"/>
          <w:lang w:val="en-US"/>
        </w:rPr>
        <w:t xml:space="preserve">ection </w:t>
      </w:r>
      <w:r w:rsidR="00067B1C" w:rsidRPr="00561856">
        <w:rPr>
          <w:rFonts w:ascii="Times New Roman" w:hAnsi="Times New Roman" w:cs="Times New Roman"/>
          <w:sz w:val="24"/>
          <w:szCs w:val="24"/>
          <w:lang w:val="en-US"/>
        </w:rPr>
        <w:t>35</w:t>
      </w:r>
      <w:r w:rsidR="00067B1C" w:rsidRPr="00CC6EA8">
        <w:rPr>
          <w:rFonts w:ascii="Times New Roman" w:hAnsi="Times New Roman" w:cs="Times New Roman"/>
          <w:sz w:val="24"/>
          <w:szCs w:val="24"/>
          <w:lang w:val="en-US"/>
        </w:rPr>
        <w:t xml:space="preserve"> ACP</w:t>
      </w:r>
      <w:r w:rsidR="00484F63" w:rsidRPr="00CC6EA8">
        <w:rPr>
          <w:rFonts w:ascii="Times New Roman" w:hAnsi="Times New Roman" w:cs="Times New Roman"/>
          <w:sz w:val="24"/>
          <w:szCs w:val="24"/>
          <w:lang w:val="en-US"/>
        </w:rPr>
        <w:t xml:space="preserve">A does not expressly refer to the proportionality </w:t>
      </w:r>
      <w:r w:rsidR="00CC6EA8" w:rsidRPr="00CC6EA8">
        <w:rPr>
          <w:rFonts w:ascii="Times New Roman" w:hAnsi="Times New Roman" w:cs="Times New Roman"/>
          <w:sz w:val="24"/>
          <w:szCs w:val="24"/>
          <w:lang w:val="en-US"/>
        </w:rPr>
        <w:t xml:space="preserve">principle, it does require </w:t>
      </w:r>
      <w:r w:rsidR="003E38F9">
        <w:rPr>
          <w:rFonts w:ascii="Times New Roman" w:hAnsi="Times New Roman" w:cs="Times New Roman"/>
          <w:color w:val="000000"/>
          <w:sz w:val="24"/>
          <w:szCs w:val="24"/>
          <w:shd w:val="clear" w:color="auto" w:fill="FFFFFF"/>
          <w:lang w:val="en-CA"/>
        </w:rPr>
        <w:t>the constable</w:t>
      </w:r>
      <w:r w:rsidR="00CC6EA8" w:rsidRPr="00CC6EA8">
        <w:rPr>
          <w:rFonts w:ascii="Times New Roman" w:hAnsi="Times New Roman" w:cs="Times New Roman"/>
          <w:color w:val="000000"/>
          <w:sz w:val="24"/>
          <w:szCs w:val="24"/>
          <w:shd w:val="clear" w:color="auto" w:fill="FFFFFF"/>
          <w:lang w:val="en-CA"/>
        </w:rPr>
        <w:t xml:space="preserve"> </w:t>
      </w:r>
      <w:r w:rsidR="003E38F9">
        <w:rPr>
          <w:rFonts w:ascii="Times New Roman" w:hAnsi="Times New Roman" w:cs="Times New Roman"/>
          <w:color w:val="000000"/>
          <w:sz w:val="24"/>
          <w:szCs w:val="24"/>
          <w:shd w:val="clear" w:color="auto" w:fill="FFFFFF"/>
          <w:lang w:val="en-CA"/>
        </w:rPr>
        <w:t>who imposes</w:t>
      </w:r>
      <w:r w:rsidR="00CC6EA8" w:rsidRPr="00CC6EA8">
        <w:rPr>
          <w:rFonts w:ascii="Times New Roman" w:hAnsi="Times New Roman" w:cs="Times New Roman"/>
          <w:color w:val="000000"/>
          <w:sz w:val="24"/>
          <w:szCs w:val="24"/>
          <w:shd w:val="clear" w:color="auto" w:fill="FFFFFF"/>
          <w:lang w:val="en-CA"/>
        </w:rPr>
        <w:t xml:space="preserve"> a direction to leave </w:t>
      </w:r>
      <w:r w:rsidR="00CC6EA8">
        <w:rPr>
          <w:rFonts w:ascii="Times New Roman" w:hAnsi="Times New Roman" w:cs="Times New Roman"/>
          <w:color w:val="000000"/>
          <w:sz w:val="24"/>
          <w:szCs w:val="24"/>
          <w:shd w:val="clear" w:color="auto" w:fill="FFFFFF"/>
          <w:lang w:val="en-CA"/>
        </w:rPr>
        <w:t>to</w:t>
      </w:r>
      <w:r w:rsidR="00CC6EA8" w:rsidRPr="00CC6EA8">
        <w:rPr>
          <w:rFonts w:ascii="Times New Roman" w:hAnsi="Times New Roman" w:cs="Times New Roman"/>
          <w:color w:val="000000"/>
          <w:sz w:val="24"/>
          <w:szCs w:val="24"/>
          <w:shd w:val="clear" w:color="auto" w:fill="FFFFFF"/>
          <w:lang w:val="en-CA"/>
        </w:rPr>
        <w:t xml:space="preserve"> ascertain that giving the direction</w:t>
      </w:r>
      <w:r w:rsidR="003E38F9">
        <w:rPr>
          <w:rFonts w:ascii="Times New Roman" w:hAnsi="Times New Roman" w:cs="Times New Roman"/>
          <w:color w:val="000000"/>
          <w:sz w:val="24"/>
          <w:szCs w:val="24"/>
          <w:shd w:val="clear" w:color="auto" w:fill="FFFFFF"/>
          <w:lang w:val="en-CA"/>
        </w:rPr>
        <w:t xml:space="preserve"> </w:t>
      </w:r>
      <w:r w:rsidR="00CC6EA8" w:rsidRPr="00CC6EA8">
        <w:rPr>
          <w:rFonts w:ascii="Times New Roman" w:hAnsi="Times New Roman" w:cs="Times New Roman"/>
          <w:color w:val="000000"/>
          <w:sz w:val="24"/>
          <w:szCs w:val="24"/>
          <w:shd w:val="clear" w:color="auto" w:fill="FFFFFF"/>
          <w:lang w:val="en-CA"/>
        </w:rPr>
        <w:t xml:space="preserve">is ‘necessary for the purpose of removing or reducing the likelihood of the problematic </w:t>
      </w:r>
      <w:r w:rsidR="00CC6EA8" w:rsidRPr="00385BD7">
        <w:rPr>
          <w:rFonts w:ascii="Times New Roman" w:hAnsi="Times New Roman" w:cs="Times New Roman"/>
          <w:color w:val="000000"/>
          <w:sz w:val="24"/>
          <w:szCs w:val="24"/>
          <w:shd w:val="clear" w:color="auto" w:fill="FFFFFF"/>
          <w:lang w:val="en-CA"/>
        </w:rPr>
        <w:t>behaviour’</w:t>
      </w:r>
      <w:r w:rsidR="005C729C" w:rsidRPr="00385BD7">
        <w:rPr>
          <w:rStyle w:val="Odwoanieprzypisudolnego"/>
          <w:rFonts w:ascii="Times New Roman" w:hAnsi="Times New Roman" w:cs="Times New Roman"/>
          <w:color w:val="000000"/>
          <w:sz w:val="24"/>
          <w:szCs w:val="24"/>
          <w:shd w:val="clear" w:color="auto" w:fill="FFFFFF"/>
          <w:lang w:val="en-CA"/>
        </w:rPr>
        <w:footnoteReference w:id="86"/>
      </w:r>
      <w:r w:rsidR="00CC6EA8" w:rsidRPr="00385BD7">
        <w:rPr>
          <w:rFonts w:ascii="Times New Roman" w:hAnsi="Times New Roman" w:cs="Times New Roman"/>
          <w:color w:val="000000"/>
          <w:sz w:val="24"/>
          <w:szCs w:val="24"/>
          <w:shd w:val="clear" w:color="auto" w:fill="FFFFFF"/>
          <w:lang w:val="en-CA"/>
        </w:rPr>
        <w:t>.</w:t>
      </w:r>
      <w:r w:rsidR="00DB614C" w:rsidRPr="00385BD7">
        <w:rPr>
          <w:rFonts w:ascii="Times New Roman" w:hAnsi="Times New Roman" w:cs="Times New Roman"/>
          <w:color w:val="000000"/>
          <w:sz w:val="24"/>
          <w:szCs w:val="24"/>
          <w:shd w:val="clear" w:color="auto" w:fill="FFFFFF"/>
          <w:lang w:val="en-CA"/>
        </w:rPr>
        <w:t xml:space="preserve"> </w:t>
      </w:r>
      <w:r w:rsidR="00781035" w:rsidRPr="00385BD7">
        <w:rPr>
          <w:rFonts w:ascii="Times New Roman" w:hAnsi="Times New Roman" w:cs="Times New Roman"/>
          <w:color w:val="000000"/>
          <w:sz w:val="24"/>
          <w:szCs w:val="24"/>
          <w:shd w:val="clear" w:color="auto" w:fill="FFFFFF"/>
          <w:lang w:val="en-CA"/>
        </w:rPr>
        <w:t>This indicates that the aim for which the direction</w:t>
      </w:r>
      <w:r w:rsidR="003E38F9">
        <w:rPr>
          <w:rFonts w:ascii="Times New Roman" w:hAnsi="Times New Roman" w:cs="Times New Roman"/>
          <w:color w:val="000000"/>
          <w:sz w:val="24"/>
          <w:szCs w:val="24"/>
          <w:shd w:val="clear" w:color="auto" w:fill="FFFFFF"/>
          <w:lang w:val="en-CA"/>
        </w:rPr>
        <w:t xml:space="preserve"> </w:t>
      </w:r>
      <w:r w:rsidR="00781035" w:rsidRPr="00385BD7">
        <w:rPr>
          <w:rFonts w:ascii="Times New Roman" w:hAnsi="Times New Roman" w:cs="Times New Roman"/>
          <w:color w:val="000000"/>
          <w:sz w:val="24"/>
          <w:szCs w:val="24"/>
          <w:shd w:val="clear" w:color="auto" w:fill="FFFFFF"/>
          <w:lang w:val="en-CA"/>
        </w:rPr>
        <w:t xml:space="preserve">is imposed will be of particular importance with regard to </w:t>
      </w:r>
      <w:r w:rsidR="003E38F9">
        <w:rPr>
          <w:rFonts w:ascii="Times New Roman" w:hAnsi="Times New Roman" w:cs="Times New Roman"/>
          <w:color w:val="000000"/>
          <w:sz w:val="24"/>
          <w:szCs w:val="24"/>
          <w:shd w:val="clear" w:color="auto" w:fill="FFFFFF"/>
          <w:lang w:val="en-CA"/>
        </w:rPr>
        <w:t>its</w:t>
      </w:r>
      <w:r w:rsidR="00781035" w:rsidRPr="00385BD7">
        <w:rPr>
          <w:rFonts w:ascii="Times New Roman" w:hAnsi="Times New Roman" w:cs="Times New Roman"/>
          <w:color w:val="000000"/>
          <w:sz w:val="24"/>
          <w:szCs w:val="24"/>
          <w:shd w:val="clear" w:color="auto" w:fill="FFFFFF"/>
          <w:lang w:val="en-CA"/>
        </w:rPr>
        <w:t xml:space="preserve"> proportionality. </w:t>
      </w:r>
      <w:r w:rsidR="00781035" w:rsidRPr="00561856">
        <w:rPr>
          <w:rFonts w:ascii="Times New Roman" w:hAnsi="Times New Roman" w:cs="Times New Roman"/>
          <w:color w:val="000000"/>
          <w:sz w:val="24"/>
          <w:szCs w:val="24"/>
          <w:shd w:val="clear" w:color="auto" w:fill="FFFFFF"/>
          <w:lang w:val="en-CA"/>
        </w:rPr>
        <w:t xml:space="preserve">However, there </w:t>
      </w:r>
      <w:r w:rsidR="00DB614C" w:rsidRPr="00561856">
        <w:rPr>
          <w:rFonts w:ascii="Times New Roman" w:hAnsi="Times New Roman" w:cs="Times New Roman"/>
          <w:sz w:val="24"/>
          <w:szCs w:val="24"/>
          <w:lang w:val="en-US"/>
        </w:rPr>
        <w:t xml:space="preserve">is no relevant case law concerning the proportionality of the </w:t>
      </w:r>
      <w:r w:rsidR="00DB614C" w:rsidRPr="00E82A70">
        <w:rPr>
          <w:rFonts w:ascii="Times New Roman" w:hAnsi="Times New Roman" w:cs="Times New Roman"/>
          <w:sz w:val="24"/>
          <w:szCs w:val="24"/>
          <w:lang w:val="en-US"/>
        </w:rPr>
        <w:t>new direction to leave yet</w:t>
      </w:r>
      <w:r w:rsidR="00781035" w:rsidRPr="00E82A70">
        <w:rPr>
          <w:rFonts w:ascii="Times New Roman" w:hAnsi="Times New Roman" w:cs="Times New Roman"/>
          <w:sz w:val="24"/>
          <w:szCs w:val="24"/>
          <w:lang w:val="en-US"/>
        </w:rPr>
        <w:t>, so</w:t>
      </w:r>
      <w:r w:rsidR="00385BD7" w:rsidRPr="00E82A70">
        <w:rPr>
          <w:rFonts w:ascii="Times New Roman" w:hAnsi="Times New Roman" w:cs="Times New Roman"/>
          <w:sz w:val="24"/>
          <w:szCs w:val="24"/>
          <w:lang w:val="en-US"/>
        </w:rPr>
        <w:t xml:space="preserve"> we must </w:t>
      </w:r>
      <w:r w:rsidR="00E82A70" w:rsidRPr="00E82A70">
        <w:rPr>
          <w:rFonts w:ascii="Times New Roman" w:hAnsi="Times New Roman" w:cs="Times New Roman"/>
          <w:sz w:val="24"/>
          <w:szCs w:val="24"/>
          <w:lang w:val="en-US"/>
        </w:rPr>
        <w:t>fall back upo</w:t>
      </w:r>
      <w:r w:rsidR="00385BD7" w:rsidRPr="00E82A70">
        <w:rPr>
          <w:rFonts w:ascii="Times New Roman" w:hAnsi="Times New Roman" w:cs="Times New Roman"/>
          <w:sz w:val="24"/>
          <w:szCs w:val="24"/>
          <w:lang w:val="en-US"/>
        </w:rPr>
        <w:t xml:space="preserve">n the already existing UK case </w:t>
      </w:r>
      <w:r w:rsidR="0051666C">
        <w:rPr>
          <w:rFonts w:ascii="Times New Roman" w:hAnsi="Times New Roman" w:cs="Times New Roman"/>
          <w:sz w:val="24"/>
          <w:szCs w:val="24"/>
          <w:lang w:val="en-US"/>
        </w:rPr>
        <w:t>law with regard</w:t>
      </w:r>
      <w:r w:rsidR="00385BD7">
        <w:rPr>
          <w:rFonts w:ascii="Times New Roman" w:hAnsi="Times New Roman" w:cs="Times New Roman"/>
          <w:sz w:val="24"/>
          <w:szCs w:val="24"/>
          <w:lang w:val="en-US"/>
        </w:rPr>
        <w:t xml:space="preserve"> to the proportionality of other freedom-restricting measures</w:t>
      </w:r>
      <w:r w:rsidR="00C91399">
        <w:rPr>
          <w:rFonts w:ascii="Times New Roman" w:hAnsi="Times New Roman" w:cs="Times New Roman"/>
          <w:sz w:val="24"/>
          <w:szCs w:val="24"/>
          <w:lang w:val="en-US"/>
        </w:rPr>
        <w:t>,</w:t>
      </w:r>
      <w:r w:rsidR="00385BD7">
        <w:rPr>
          <w:rFonts w:ascii="Times New Roman" w:hAnsi="Times New Roman" w:cs="Times New Roman"/>
          <w:sz w:val="24"/>
          <w:szCs w:val="24"/>
          <w:lang w:val="en-US"/>
        </w:rPr>
        <w:t xml:space="preserve"> imposed </w:t>
      </w:r>
      <w:r w:rsidR="00A85930" w:rsidRPr="00A85930">
        <w:rPr>
          <w:rFonts w:ascii="Times New Roman" w:hAnsi="Times New Roman" w:cs="Times New Roman"/>
          <w:sz w:val="24"/>
          <w:szCs w:val="24"/>
          <w:lang w:val="en-US"/>
        </w:rPr>
        <w:t>to</w:t>
      </w:r>
      <w:r w:rsidR="00385BD7" w:rsidRPr="00A85930">
        <w:rPr>
          <w:rFonts w:ascii="Times New Roman" w:hAnsi="Times New Roman" w:cs="Times New Roman"/>
          <w:sz w:val="24"/>
          <w:szCs w:val="24"/>
          <w:lang w:val="en-US"/>
        </w:rPr>
        <w:t xml:space="preserve"> maintain public order</w:t>
      </w:r>
      <w:r w:rsidR="00781035" w:rsidRPr="00A85930">
        <w:rPr>
          <w:rFonts w:ascii="Times New Roman" w:hAnsi="Times New Roman" w:cs="Times New Roman"/>
          <w:sz w:val="24"/>
          <w:szCs w:val="24"/>
          <w:lang w:val="en-US"/>
        </w:rPr>
        <w:t>.</w:t>
      </w:r>
      <w:r w:rsidR="00DB614C">
        <w:rPr>
          <w:rFonts w:ascii="Times New Roman" w:hAnsi="Times New Roman" w:cs="Times New Roman"/>
          <w:sz w:val="24"/>
          <w:szCs w:val="24"/>
          <w:lang w:val="en-US"/>
        </w:rPr>
        <w:t xml:space="preserve"> </w:t>
      </w:r>
    </w:p>
    <w:p w14:paraId="7A94610C" w14:textId="77777777" w:rsidR="00561856" w:rsidRDefault="00561856" w:rsidP="00781035">
      <w:pPr>
        <w:pStyle w:val="Tekstprzypisudolnego"/>
        <w:spacing w:line="276" w:lineRule="auto"/>
        <w:jc w:val="both"/>
        <w:rPr>
          <w:rFonts w:ascii="Times New Roman" w:hAnsi="Times New Roman" w:cs="Times New Roman"/>
          <w:sz w:val="24"/>
          <w:szCs w:val="24"/>
          <w:lang w:val="en-US"/>
        </w:rPr>
      </w:pPr>
    </w:p>
    <w:p w14:paraId="35C3E322" w14:textId="51ED73AB" w:rsidR="00124211" w:rsidRDefault="00781035" w:rsidP="00330F46">
      <w:pPr>
        <w:pStyle w:val="Tekstprzypisudolnego"/>
        <w:spacing w:line="276" w:lineRule="auto"/>
        <w:rPr>
          <w:rFonts w:ascii="Times New Roman" w:hAnsi="Times New Roman" w:cs="Times New Roman"/>
          <w:sz w:val="24"/>
          <w:szCs w:val="24"/>
          <w:lang w:val="en-US"/>
        </w:rPr>
      </w:pPr>
      <w:r w:rsidRPr="003E38F9">
        <w:rPr>
          <w:rFonts w:ascii="Times New Roman" w:hAnsi="Times New Roman" w:cs="Times New Roman"/>
          <w:sz w:val="24"/>
          <w:szCs w:val="24"/>
          <w:lang w:val="en-US"/>
        </w:rPr>
        <w:t xml:space="preserve">In </w:t>
      </w:r>
      <w:r w:rsidRPr="003E38F9">
        <w:rPr>
          <w:rFonts w:ascii="Times New Roman" w:hAnsi="Times New Roman" w:cs="Times New Roman"/>
          <w:i/>
          <w:sz w:val="24"/>
          <w:szCs w:val="24"/>
          <w:lang w:val="en-US"/>
        </w:rPr>
        <w:t>Gough</w:t>
      </w:r>
      <w:r w:rsidR="00561856" w:rsidRPr="003E38F9">
        <w:rPr>
          <w:rFonts w:ascii="Times New Roman" w:hAnsi="Times New Roman" w:cs="Times New Roman"/>
          <w:sz w:val="24"/>
          <w:szCs w:val="24"/>
          <w:lang w:val="en-US"/>
        </w:rPr>
        <w:t xml:space="preserve">, </w:t>
      </w:r>
      <w:r w:rsidR="00385BD7" w:rsidRPr="003E38F9">
        <w:rPr>
          <w:rFonts w:ascii="Times New Roman" w:hAnsi="Times New Roman" w:cs="Times New Roman"/>
          <w:sz w:val="24"/>
          <w:szCs w:val="24"/>
          <w:lang w:val="en-US"/>
        </w:rPr>
        <w:t>for instance, concerning a football banning order on complaint, the domestic court</w:t>
      </w:r>
      <w:r w:rsidR="00385BD7">
        <w:rPr>
          <w:rFonts w:ascii="Times New Roman" w:hAnsi="Times New Roman" w:cs="Times New Roman"/>
          <w:sz w:val="24"/>
          <w:szCs w:val="24"/>
          <w:lang w:val="en-US"/>
        </w:rPr>
        <w:t xml:space="preserve"> applied </w:t>
      </w:r>
      <w:r>
        <w:rPr>
          <w:rFonts w:ascii="Times New Roman" w:hAnsi="Times New Roman" w:cs="Times New Roman"/>
          <w:sz w:val="24"/>
          <w:szCs w:val="24"/>
          <w:lang w:val="en-US"/>
        </w:rPr>
        <w:t xml:space="preserve">the </w:t>
      </w:r>
      <w:r w:rsidR="00330F46" w:rsidRPr="00330F46">
        <w:rPr>
          <w:rFonts w:ascii="Times New Roman" w:hAnsi="Times New Roman" w:cs="Times New Roman"/>
          <w:sz w:val="24"/>
          <w:szCs w:val="24"/>
          <w:lang w:val="en-US"/>
        </w:rPr>
        <w:t xml:space="preserve">proportionality </w:t>
      </w:r>
      <w:r w:rsidR="00330F46">
        <w:rPr>
          <w:rFonts w:ascii="Times New Roman" w:hAnsi="Times New Roman" w:cs="Times New Roman"/>
          <w:sz w:val="24"/>
          <w:szCs w:val="24"/>
          <w:lang w:val="en-US"/>
        </w:rPr>
        <w:t xml:space="preserve">test used in </w:t>
      </w:r>
      <w:r w:rsidR="00330F46" w:rsidRPr="00330F46">
        <w:rPr>
          <w:rFonts w:ascii="Times New Roman" w:hAnsi="Times New Roman" w:cs="Times New Roman"/>
          <w:i/>
          <w:sz w:val="24"/>
          <w:szCs w:val="24"/>
          <w:lang w:val="en-US"/>
        </w:rPr>
        <w:t>de Freitas</w:t>
      </w:r>
      <w:r w:rsidR="00330F46">
        <w:rPr>
          <w:rStyle w:val="Odwoanieprzypisudolnego"/>
          <w:rFonts w:ascii="Times New Roman" w:hAnsi="Times New Roman" w:cs="Times New Roman"/>
          <w:sz w:val="24"/>
          <w:szCs w:val="24"/>
          <w:lang w:val="en-US"/>
        </w:rPr>
        <w:footnoteReference w:id="87"/>
      </w:r>
      <w:r w:rsidR="00330F46">
        <w:rPr>
          <w:rFonts w:ascii="Times New Roman" w:hAnsi="Times New Roman" w:cs="Times New Roman"/>
          <w:sz w:val="24"/>
          <w:szCs w:val="24"/>
          <w:lang w:val="en-US"/>
        </w:rPr>
        <w:t xml:space="preserve"> (the so-called</w:t>
      </w:r>
      <w:r w:rsidR="00330F46" w:rsidRPr="00330F46">
        <w:rPr>
          <w:rFonts w:ascii="Times New Roman" w:hAnsi="Times New Roman" w:cs="Times New Roman"/>
          <w:sz w:val="24"/>
          <w:szCs w:val="24"/>
          <w:lang w:val="en-US"/>
        </w:rPr>
        <w:t xml:space="preserve"> </w:t>
      </w:r>
      <w:r w:rsidR="00FA0875">
        <w:rPr>
          <w:rFonts w:ascii="Times New Roman" w:hAnsi="Times New Roman" w:cs="Times New Roman"/>
          <w:sz w:val="24"/>
          <w:szCs w:val="24"/>
          <w:lang w:val="en-US"/>
        </w:rPr>
        <w:t>‘</w:t>
      </w:r>
      <w:r>
        <w:rPr>
          <w:rFonts w:ascii="Times New Roman" w:hAnsi="Times New Roman" w:cs="Times New Roman"/>
          <w:sz w:val="24"/>
          <w:szCs w:val="24"/>
          <w:lang w:val="en-US"/>
        </w:rPr>
        <w:t xml:space="preserve">de </w:t>
      </w:r>
      <w:r w:rsidRPr="00330F46">
        <w:rPr>
          <w:rFonts w:ascii="Times New Roman" w:hAnsi="Times New Roman" w:cs="Times New Roman"/>
          <w:sz w:val="24"/>
          <w:szCs w:val="24"/>
          <w:lang w:val="en-US"/>
        </w:rPr>
        <w:t>Freitas</w:t>
      </w:r>
      <w:r w:rsidR="00FA0875">
        <w:rPr>
          <w:rFonts w:ascii="Times New Roman" w:hAnsi="Times New Roman" w:cs="Times New Roman"/>
          <w:sz w:val="24"/>
          <w:szCs w:val="24"/>
          <w:lang w:val="en-US"/>
        </w:rPr>
        <w:t>’</w:t>
      </w:r>
      <w:r w:rsidR="00AF2FE6">
        <w:rPr>
          <w:rFonts w:ascii="Times New Roman" w:hAnsi="Times New Roman" w:cs="Times New Roman"/>
          <w:sz w:val="24"/>
          <w:szCs w:val="24"/>
          <w:lang w:val="en-US"/>
        </w:rPr>
        <w:t>-</w:t>
      </w:r>
      <w:r>
        <w:rPr>
          <w:rFonts w:ascii="Times New Roman" w:hAnsi="Times New Roman" w:cs="Times New Roman"/>
          <w:sz w:val="24"/>
          <w:szCs w:val="24"/>
          <w:lang w:val="en-US"/>
        </w:rPr>
        <w:t>test</w:t>
      </w:r>
      <w:r w:rsidR="00330F46">
        <w:rPr>
          <w:rFonts w:ascii="Times New Roman" w:hAnsi="Times New Roman" w:cs="Times New Roman"/>
          <w:sz w:val="24"/>
          <w:szCs w:val="24"/>
          <w:lang w:val="en-US"/>
        </w:rPr>
        <w:t>)</w:t>
      </w:r>
      <w:r w:rsidR="00385BD7">
        <w:rPr>
          <w:rFonts w:ascii="Times New Roman" w:hAnsi="Times New Roman" w:cs="Times New Roman"/>
          <w:sz w:val="24"/>
          <w:szCs w:val="24"/>
          <w:lang w:val="en-US"/>
        </w:rPr>
        <w:t xml:space="preserve"> to analyse the proportionality of the ban</w:t>
      </w:r>
      <w:r w:rsidR="00124211">
        <w:rPr>
          <w:rFonts w:ascii="Times New Roman" w:hAnsi="Times New Roman" w:cs="Times New Roman"/>
          <w:sz w:val="24"/>
          <w:szCs w:val="24"/>
          <w:lang w:val="en-US"/>
        </w:rPr>
        <w:t xml:space="preserve"> imposed, </w:t>
      </w:r>
      <w:r w:rsidR="003E38F9">
        <w:rPr>
          <w:rFonts w:ascii="Times New Roman" w:hAnsi="Times New Roman" w:cs="Times New Roman"/>
          <w:sz w:val="24"/>
          <w:szCs w:val="24"/>
          <w:lang w:val="en-US"/>
        </w:rPr>
        <w:t>which comprises</w:t>
      </w:r>
      <w:r w:rsidR="00124211">
        <w:rPr>
          <w:rFonts w:ascii="Times New Roman" w:hAnsi="Times New Roman" w:cs="Times New Roman"/>
          <w:sz w:val="24"/>
          <w:szCs w:val="24"/>
          <w:lang w:val="en-US"/>
        </w:rPr>
        <w:t xml:space="preserve"> the following three questions</w:t>
      </w:r>
      <w:r w:rsidR="00385BD7">
        <w:rPr>
          <w:rStyle w:val="Odwoanieprzypisudolnego"/>
          <w:rFonts w:ascii="Times New Roman" w:hAnsi="Times New Roman" w:cs="Times New Roman"/>
          <w:sz w:val="24"/>
          <w:szCs w:val="24"/>
          <w:lang w:val="en-US"/>
        </w:rPr>
        <w:footnoteReference w:id="88"/>
      </w:r>
      <w:r w:rsidR="00561856">
        <w:rPr>
          <w:rFonts w:ascii="Times New Roman" w:hAnsi="Times New Roman" w:cs="Times New Roman"/>
          <w:sz w:val="24"/>
          <w:szCs w:val="24"/>
          <w:lang w:val="en-US"/>
        </w:rPr>
        <w:t>:</w:t>
      </w:r>
    </w:p>
    <w:p w14:paraId="4DA9E5CF" w14:textId="77777777" w:rsidR="00124211" w:rsidRDefault="00124211" w:rsidP="00124211">
      <w:pPr>
        <w:pStyle w:val="Akapitzlist"/>
        <w:numPr>
          <w:ilvl w:val="0"/>
          <w:numId w:val="17"/>
        </w:numPr>
        <w:jc w:val="both"/>
        <w:rPr>
          <w:rFonts w:ascii="Times New Roman" w:hAnsi="Times New Roman" w:cs="Times New Roman"/>
          <w:sz w:val="24"/>
          <w:szCs w:val="24"/>
          <w:lang w:val="en-US"/>
        </w:rPr>
      </w:pPr>
      <w:r w:rsidRPr="004A4E6A">
        <w:rPr>
          <w:rFonts w:ascii="Times New Roman" w:hAnsi="Times New Roman" w:cs="Times New Roman"/>
          <w:sz w:val="24"/>
          <w:szCs w:val="24"/>
          <w:lang w:val="en-US"/>
        </w:rPr>
        <w:t xml:space="preserve">Does the measure have a </w:t>
      </w:r>
      <w:r w:rsidRPr="004A4E6A">
        <w:rPr>
          <w:rFonts w:ascii="Times New Roman" w:hAnsi="Times New Roman" w:cs="Times New Roman"/>
          <w:i/>
          <w:sz w:val="24"/>
          <w:szCs w:val="24"/>
          <w:lang w:val="en-US"/>
        </w:rPr>
        <w:t xml:space="preserve">legitimate aim, </w:t>
      </w:r>
      <w:r>
        <w:rPr>
          <w:rFonts w:ascii="Times New Roman" w:hAnsi="Times New Roman" w:cs="Times New Roman"/>
          <w:sz w:val="24"/>
          <w:szCs w:val="24"/>
          <w:lang w:val="en-US"/>
        </w:rPr>
        <w:t>meaning that</w:t>
      </w:r>
      <w:r w:rsidRPr="004A4E6A">
        <w:rPr>
          <w:rFonts w:ascii="Times New Roman" w:hAnsi="Times New Roman" w:cs="Times New Roman"/>
          <w:sz w:val="24"/>
          <w:szCs w:val="24"/>
          <w:lang w:val="en-US"/>
        </w:rPr>
        <w:t xml:space="preserve"> the aim pursued is sufficiently important</w:t>
      </w:r>
      <w:r w:rsidRPr="004A4E6A">
        <w:rPr>
          <w:lang w:val="en-CA"/>
        </w:rPr>
        <w:t xml:space="preserve"> </w:t>
      </w:r>
      <w:r w:rsidRPr="004A4E6A">
        <w:rPr>
          <w:rFonts w:ascii="Times New Roman" w:hAnsi="Times New Roman" w:cs="Times New Roman"/>
          <w:sz w:val="24"/>
          <w:szCs w:val="24"/>
          <w:lang w:val="en-US"/>
        </w:rPr>
        <w:t>to justify interference with a fundamental right?</w:t>
      </w:r>
    </w:p>
    <w:p w14:paraId="1032446D" w14:textId="653AD2AA" w:rsidR="00124211" w:rsidRPr="00464303" w:rsidRDefault="00124211" w:rsidP="00124211">
      <w:pPr>
        <w:pStyle w:val="Akapitzlist"/>
        <w:numPr>
          <w:ilvl w:val="0"/>
          <w:numId w:val="17"/>
        </w:numPr>
        <w:jc w:val="both"/>
        <w:rPr>
          <w:rFonts w:ascii="Times New Roman" w:hAnsi="Times New Roman" w:cs="Times New Roman"/>
          <w:sz w:val="24"/>
          <w:szCs w:val="24"/>
          <w:lang w:val="en-US"/>
        </w:rPr>
      </w:pPr>
      <w:r>
        <w:rPr>
          <w:rFonts w:ascii="Times New Roman" w:hAnsi="Times New Roman" w:cs="Times New Roman"/>
          <w:sz w:val="24"/>
          <w:szCs w:val="24"/>
          <w:lang w:val="en-US"/>
        </w:rPr>
        <w:t>Is the measure that has</w:t>
      </w:r>
      <w:r w:rsidRPr="00464303">
        <w:rPr>
          <w:rFonts w:ascii="Times New Roman" w:hAnsi="Times New Roman" w:cs="Times New Roman"/>
          <w:sz w:val="24"/>
          <w:szCs w:val="24"/>
          <w:lang w:val="en-US"/>
        </w:rPr>
        <w:t xml:space="preserve"> been designed to meet the </w:t>
      </w:r>
      <w:r>
        <w:rPr>
          <w:rFonts w:ascii="Times New Roman" w:hAnsi="Times New Roman" w:cs="Times New Roman"/>
          <w:sz w:val="24"/>
          <w:szCs w:val="24"/>
          <w:lang w:val="en-US"/>
        </w:rPr>
        <w:t xml:space="preserve">aim </w:t>
      </w:r>
      <w:r w:rsidRPr="00464303">
        <w:rPr>
          <w:rFonts w:ascii="Times New Roman" w:hAnsi="Times New Roman" w:cs="Times New Roman"/>
          <w:i/>
          <w:sz w:val="24"/>
          <w:szCs w:val="24"/>
          <w:lang w:val="en-US"/>
        </w:rPr>
        <w:t>rationally</w:t>
      </w:r>
      <w:r w:rsidRPr="00464303">
        <w:rPr>
          <w:rFonts w:ascii="Times New Roman" w:hAnsi="Times New Roman" w:cs="Times New Roman"/>
          <w:sz w:val="24"/>
          <w:szCs w:val="24"/>
          <w:lang w:val="en-US"/>
        </w:rPr>
        <w:t xml:space="preserve"> </w:t>
      </w:r>
      <w:r w:rsidRPr="00464303">
        <w:rPr>
          <w:rFonts w:ascii="Times New Roman" w:hAnsi="Times New Roman" w:cs="Times New Roman"/>
          <w:i/>
          <w:sz w:val="24"/>
          <w:szCs w:val="24"/>
          <w:lang w:val="en-US"/>
        </w:rPr>
        <w:t>connected</w:t>
      </w:r>
      <w:r w:rsidRPr="00464303">
        <w:rPr>
          <w:rFonts w:ascii="Times New Roman" w:hAnsi="Times New Roman" w:cs="Times New Roman"/>
          <w:sz w:val="24"/>
          <w:szCs w:val="24"/>
          <w:lang w:val="en-US"/>
        </w:rPr>
        <w:t xml:space="preserve"> to it? </w:t>
      </w:r>
    </w:p>
    <w:p w14:paraId="023B9F0D" w14:textId="75F57C5A" w:rsidR="00124211" w:rsidRPr="00464303" w:rsidRDefault="00124211" w:rsidP="00124211">
      <w:pPr>
        <w:pStyle w:val="Akapitzlist"/>
        <w:numPr>
          <w:ilvl w:val="0"/>
          <w:numId w:val="17"/>
        </w:numPr>
        <w:jc w:val="both"/>
        <w:rPr>
          <w:rStyle w:val="Odwoanieprzypisudolnego"/>
          <w:rFonts w:ascii="Times New Roman" w:hAnsi="Times New Roman" w:cs="Times New Roman"/>
          <w:sz w:val="24"/>
          <w:szCs w:val="24"/>
          <w:vertAlign w:val="baseline"/>
          <w:lang w:val="en-US"/>
        </w:rPr>
      </w:pPr>
      <w:r>
        <w:rPr>
          <w:rFonts w:ascii="Times New Roman" w:hAnsi="Times New Roman" w:cs="Times New Roman"/>
          <w:sz w:val="24"/>
          <w:szCs w:val="24"/>
          <w:lang w:val="en-US"/>
        </w:rPr>
        <w:t>D</w:t>
      </w:r>
      <w:r w:rsidRPr="00464303">
        <w:rPr>
          <w:rFonts w:ascii="Times New Roman" w:hAnsi="Times New Roman" w:cs="Times New Roman"/>
          <w:sz w:val="24"/>
          <w:szCs w:val="24"/>
          <w:lang w:val="en-US"/>
        </w:rPr>
        <w:t>o</w:t>
      </w:r>
      <w:r>
        <w:rPr>
          <w:rFonts w:ascii="Times New Roman" w:hAnsi="Times New Roman" w:cs="Times New Roman"/>
          <w:sz w:val="24"/>
          <w:szCs w:val="24"/>
          <w:lang w:val="en-US"/>
        </w:rPr>
        <w:t>es the measure</w:t>
      </w:r>
      <w:r w:rsidRPr="00464303">
        <w:rPr>
          <w:rFonts w:ascii="Times New Roman" w:hAnsi="Times New Roman" w:cs="Times New Roman"/>
          <w:sz w:val="24"/>
          <w:szCs w:val="24"/>
          <w:lang w:val="en-US"/>
        </w:rPr>
        <w:t xml:space="preserve"> go no further than is </w:t>
      </w:r>
      <w:r w:rsidRPr="00464303">
        <w:rPr>
          <w:rFonts w:ascii="Times New Roman" w:hAnsi="Times New Roman" w:cs="Times New Roman"/>
          <w:i/>
          <w:sz w:val="24"/>
          <w:szCs w:val="24"/>
          <w:lang w:val="en-US"/>
        </w:rPr>
        <w:t>necessary</w:t>
      </w:r>
      <w:r w:rsidRPr="00464303">
        <w:rPr>
          <w:rFonts w:ascii="Times New Roman" w:hAnsi="Times New Roman" w:cs="Times New Roman"/>
          <w:sz w:val="24"/>
          <w:szCs w:val="24"/>
          <w:lang w:val="en-US"/>
        </w:rPr>
        <w:t xml:space="preserve"> to achieve the </w:t>
      </w:r>
      <w:r w:rsidRPr="005958E4">
        <w:rPr>
          <w:rFonts w:ascii="Times New Roman" w:hAnsi="Times New Roman" w:cs="Times New Roman"/>
          <w:sz w:val="24"/>
          <w:szCs w:val="24"/>
          <w:lang w:val="en-US"/>
        </w:rPr>
        <w:t>aim</w:t>
      </w:r>
      <w:r w:rsidR="005958E4" w:rsidRPr="005958E4">
        <w:rPr>
          <w:rFonts w:ascii="Times New Roman" w:hAnsi="Times New Roman" w:cs="Times New Roman"/>
          <w:sz w:val="24"/>
          <w:szCs w:val="24"/>
          <w:lang w:val="en-US"/>
        </w:rPr>
        <w:t xml:space="preserve">, </w:t>
      </w:r>
      <w:r w:rsidR="005958E4">
        <w:rPr>
          <w:rFonts w:ascii="Times New Roman" w:hAnsi="Times New Roman" w:cs="Times New Roman"/>
          <w:sz w:val="24"/>
          <w:szCs w:val="24"/>
          <w:lang w:val="en-US"/>
        </w:rPr>
        <w:t xml:space="preserve">which is </w:t>
      </w:r>
      <w:r w:rsidR="005958E4" w:rsidRPr="005958E4">
        <w:rPr>
          <w:rFonts w:ascii="Times New Roman" w:hAnsi="Times New Roman" w:cs="Times New Roman"/>
          <w:sz w:val="24"/>
          <w:szCs w:val="24"/>
          <w:lang w:val="en-US"/>
        </w:rPr>
        <w:t xml:space="preserve">generally understood as the requirement for the competent authority to impose </w:t>
      </w:r>
      <w:r w:rsidRPr="005958E4">
        <w:rPr>
          <w:rFonts w:ascii="Times New Roman" w:hAnsi="Times New Roman" w:cs="Times New Roman"/>
          <w:sz w:val="24"/>
          <w:szCs w:val="24"/>
          <w:lang w:val="en-US"/>
        </w:rPr>
        <w:t xml:space="preserve">the </w:t>
      </w:r>
      <w:r w:rsidR="005958E4" w:rsidRPr="005958E4">
        <w:rPr>
          <w:rFonts w:ascii="Times New Roman" w:hAnsi="Times New Roman" w:cs="Times New Roman"/>
          <w:sz w:val="24"/>
          <w:szCs w:val="24"/>
          <w:lang w:val="en-US"/>
        </w:rPr>
        <w:t xml:space="preserve">measure which is the </w:t>
      </w:r>
      <w:r w:rsidRPr="005958E4">
        <w:rPr>
          <w:rFonts w:ascii="Times New Roman" w:hAnsi="Times New Roman" w:cs="Times New Roman"/>
          <w:sz w:val="24"/>
          <w:szCs w:val="24"/>
          <w:lang w:val="en-US"/>
        </w:rPr>
        <w:t>least intrusive for realising the aim pursued</w:t>
      </w:r>
      <w:r w:rsidRPr="005F52B2">
        <w:rPr>
          <w:rStyle w:val="Odwoanieprzypisudolnego"/>
          <w:rFonts w:ascii="Times New Roman" w:hAnsi="Times New Roman" w:cs="Times New Roman"/>
          <w:sz w:val="24"/>
          <w:szCs w:val="24"/>
          <w:lang w:val="en-US"/>
        </w:rPr>
        <w:footnoteReference w:id="89"/>
      </w:r>
      <w:r w:rsidRPr="00464303">
        <w:rPr>
          <w:rFonts w:ascii="Times New Roman" w:hAnsi="Times New Roman" w:cs="Times New Roman"/>
          <w:sz w:val="24"/>
          <w:szCs w:val="24"/>
          <w:lang w:val="en-US"/>
        </w:rPr>
        <w:t>?</w:t>
      </w:r>
    </w:p>
    <w:p w14:paraId="3F5A8F25" w14:textId="0E39A031" w:rsidR="00124211" w:rsidRDefault="00330F46" w:rsidP="005669A0">
      <w:pPr>
        <w:jc w:val="both"/>
        <w:rPr>
          <w:rFonts w:ascii="Times New Roman" w:hAnsi="Times New Roman" w:cs="Times New Roman"/>
          <w:i/>
          <w:sz w:val="24"/>
          <w:szCs w:val="24"/>
          <w:lang w:val="en-US"/>
        </w:rPr>
      </w:pPr>
      <w:r w:rsidRPr="00EA6DA0">
        <w:rPr>
          <w:rFonts w:ascii="Times New Roman" w:hAnsi="Times New Roman" w:cs="Times New Roman"/>
          <w:sz w:val="24"/>
          <w:szCs w:val="24"/>
          <w:lang w:val="en-US"/>
        </w:rPr>
        <w:t>The ‘de Freitas’</w:t>
      </w:r>
      <w:r w:rsidR="00FA0875">
        <w:rPr>
          <w:rFonts w:ascii="Times New Roman" w:hAnsi="Times New Roman" w:cs="Times New Roman"/>
          <w:sz w:val="24"/>
          <w:szCs w:val="24"/>
          <w:lang w:val="en-US"/>
        </w:rPr>
        <w:t>-</w:t>
      </w:r>
      <w:r w:rsidR="005669A0" w:rsidRPr="00EA6DA0">
        <w:rPr>
          <w:rFonts w:ascii="Times New Roman" w:hAnsi="Times New Roman" w:cs="Times New Roman"/>
          <w:sz w:val="24"/>
          <w:szCs w:val="24"/>
          <w:lang w:val="en-US"/>
        </w:rPr>
        <w:t xml:space="preserve">test was </w:t>
      </w:r>
      <w:r w:rsidR="00FD0096" w:rsidRPr="00FD0096">
        <w:rPr>
          <w:rFonts w:ascii="Times New Roman" w:hAnsi="Times New Roman" w:cs="Times New Roman"/>
          <w:sz w:val="24"/>
          <w:szCs w:val="24"/>
          <w:lang w:val="en-US"/>
        </w:rPr>
        <w:t xml:space="preserve">approved in the joint opinion of the </w:t>
      </w:r>
      <w:r w:rsidR="00685C24">
        <w:rPr>
          <w:rFonts w:ascii="Times New Roman" w:hAnsi="Times New Roman" w:cs="Times New Roman"/>
          <w:sz w:val="24"/>
          <w:szCs w:val="24"/>
          <w:lang w:val="en-US"/>
        </w:rPr>
        <w:t xml:space="preserve">Appellate </w:t>
      </w:r>
      <w:r w:rsidR="00FD0096" w:rsidRPr="00FD0096">
        <w:rPr>
          <w:rFonts w:ascii="Times New Roman" w:hAnsi="Times New Roman" w:cs="Times New Roman"/>
          <w:sz w:val="24"/>
          <w:szCs w:val="24"/>
          <w:lang w:val="en-US"/>
        </w:rPr>
        <w:t xml:space="preserve">Committee </w:t>
      </w:r>
      <w:r w:rsidRPr="00EA6DA0">
        <w:rPr>
          <w:rFonts w:ascii="Times New Roman" w:hAnsi="Times New Roman" w:cs="Times New Roman"/>
          <w:sz w:val="24"/>
          <w:szCs w:val="24"/>
          <w:lang w:val="en-US"/>
        </w:rPr>
        <w:t>in</w:t>
      </w:r>
      <w:r w:rsidR="00FD0096">
        <w:rPr>
          <w:rFonts w:ascii="Times New Roman" w:hAnsi="Times New Roman" w:cs="Times New Roman"/>
          <w:sz w:val="24"/>
          <w:szCs w:val="24"/>
          <w:lang w:val="en-US"/>
        </w:rPr>
        <w:t xml:space="preserve"> the</w:t>
      </w:r>
      <w:r w:rsidR="005669A0" w:rsidRPr="00EA6DA0">
        <w:rPr>
          <w:rFonts w:ascii="Times New Roman" w:hAnsi="Times New Roman" w:cs="Times New Roman"/>
          <w:sz w:val="24"/>
          <w:szCs w:val="24"/>
          <w:lang w:val="en-US"/>
        </w:rPr>
        <w:t xml:space="preserve"> </w:t>
      </w:r>
      <w:r w:rsidR="005669A0" w:rsidRPr="00FD0096">
        <w:rPr>
          <w:rFonts w:ascii="Times New Roman" w:hAnsi="Times New Roman" w:cs="Times New Roman"/>
          <w:i/>
          <w:sz w:val="24"/>
          <w:szCs w:val="24"/>
          <w:lang w:val="en-US"/>
        </w:rPr>
        <w:t>Huang</w:t>
      </w:r>
      <w:r w:rsidR="00FD0096">
        <w:rPr>
          <w:rFonts w:ascii="Times New Roman" w:hAnsi="Times New Roman" w:cs="Times New Roman"/>
          <w:sz w:val="24"/>
          <w:szCs w:val="24"/>
          <w:lang w:val="en-US"/>
        </w:rPr>
        <w:t xml:space="preserve"> case</w:t>
      </w:r>
      <w:r w:rsidRPr="00EA6DA0">
        <w:rPr>
          <w:rStyle w:val="Odwoanieprzypisudolnego"/>
          <w:rFonts w:ascii="Times New Roman" w:hAnsi="Times New Roman" w:cs="Times New Roman"/>
          <w:sz w:val="24"/>
          <w:szCs w:val="24"/>
          <w:lang w:val="en-US"/>
        </w:rPr>
        <w:footnoteReference w:id="90"/>
      </w:r>
      <w:r w:rsidR="005669A0" w:rsidRPr="00EA6DA0">
        <w:rPr>
          <w:rFonts w:ascii="Times New Roman" w:hAnsi="Times New Roman" w:cs="Times New Roman"/>
          <w:sz w:val="24"/>
          <w:szCs w:val="24"/>
          <w:lang w:val="en-US"/>
        </w:rPr>
        <w:t xml:space="preserve"> </w:t>
      </w:r>
      <w:r w:rsidR="0090240A">
        <w:rPr>
          <w:rFonts w:ascii="Times New Roman" w:hAnsi="Times New Roman" w:cs="Times New Roman"/>
          <w:sz w:val="24"/>
          <w:szCs w:val="24"/>
          <w:lang w:val="en-US"/>
        </w:rPr>
        <w:t>as well as</w:t>
      </w:r>
      <w:r w:rsidR="00FD0096">
        <w:rPr>
          <w:rFonts w:ascii="Times New Roman" w:hAnsi="Times New Roman" w:cs="Times New Roman"/>
          <w:sz w:val="24"/>
          <w:szCs w:val="24"/>
          <w:lang w:val="en-US"/>
        </w:rPr>
        <w:t xml:space="preserve"> by the House of Lords </w:t>
      </w:r>
      <w:r w:rsidR="005669A0" w:rsidRPr="00EA6DA0">
        <w:rPr>
          <w:rFonts w:ascii="Times New Roman" w:hAnsi="Times New Roman" w:cs="Times New Roman"/>
          <w:sz w:val="24"/>
          <w:szCs w:val="24"/>
          <w:lang w:val="en-US"/>
        </w:rPr>
        <w:t>in other cases</w:t>
      </w:r>
      <w:r w:rsidR="00EA6DA0">
        <w:rPr>
          <w:rStyle w:val="Odwoanieprzypisudolnego"/>
          <w:rFonts w:ascii="Times New Roman" w:hAnsi="Times New Roman" w:cs="Times New Roman"/>
          <w:sz w:val="24"/>
          <w:szCs w:val="24"/>
          <w:lang w:val="en-US"/>
        </w:rPr>
        <w:footnoteReference w:id="91"/>
      </w:r>
      <w:r w:rsidR="005669A0" w:rsidRPr="00EA6DA0">
        <w:rPr>
          <w:rFonts w:ascii="Times New Roman" w:hAnsi="Times New Roman" w:cs="Times New Roman"/>
          <w:sz w:val="24"/>
          <w:szCs w:val="24"/>
          <w:lang w:val="en-US"/>
        </w:rPr>
        <w:t xml:space="preserve">. </w:t>
      </w:r>
      <w:r w:rsidR="00EA6DA0" w:rsidRPr="00EA6DA0">
        <w:rPr>
          <w:rFonts w:ascii="Times New Roman" w:hAnsi="Times New Roman" w:cs="Times New Roman"/>
          <w:sz w:val="24"/>
          <w:szCs w:val="24"/>
          <w:lang w:val="en-US"/>
        </w:rPr>
        <w:t xml:space="preserve">As a result, this test </w:t>
      </w:r>
      <w:r w:rsidR="005669A0" w:rsidRPr="00EA6DA0">
        <w:rPr>
          <w:rFonts w:ascii="Times New Roman" w:hAnsi="Times New Roman" w:cs="Times New Roman"/>
          <w:sz w:val="24"/>
          <w:szCs w:val="24"/>
          <w:lang w:val="en-US"/>
        </w:rPr>
        <w:t xml:space="preserve">must be </w:t>
      </w:r>
      <w:r w:rsidR="00EA6DA0" w:rsidRPr="00EA6DA0">
        <w:rPr>
          <w:rFonts w:ascii="Times New Roman" w:hAnsi="Times New Roman" w:cs="Times New Roman"/>
          <w:sz w:val="24"/>
          <w:szCs w:val="24"/>
          <w:lang w:val="en-US"/>
        </w:rPr>
        <w:t xml:space="preserve">regarded as the firmly established proportionality </w:t>
      </w:r>
      <w:r w:rsidR="0051666C">
        <w:rPr>
          <w:rFonts w:ascii="Times New Roman" w:hAnsi="Times New Roman" w:cs="Times New Roman"/>
          <w:sz w:val="24"/>
          <w:szCs w:val="24"/>
          <w:lang w:val="en-US"/>
        </w:rPr>
        <w:t xml:space="preserve">test </w:t>
      </w:r>
      <w:r w:rsidR="005669A0" w:rsidRPr="00EA6DA0">
        <w:rPr>
          <w:rFonts w:ascii="Times New Roman" w:hAnsi="Times New Roman" w:cs="Times New Roman"/>
          <w:sz w:val="24"/>
          <w:szCs w:val="24"/>
          <w:lang w:val="en-US"/>
        </w:rPr>
        <w:t xml:space="preserve">in </w:t>
      </w:r>
      <w:r w:rsidR="00EA6DA0" w:rsidRPr="00EA6DA0">
        <w:rPr>
          <w:rFonts w:ascii="Times New Roman" w:hAnsi="Times New Roman" w:cs="Times New Roman"/>
          <w:sz w:val="24"/>
          <w:szCs w:val="24"/>
          <w:lang w:val="en-US"/>
        </w:rPr>
        <w:t xml:space="preserve">UK </w:t>
      </w:r>
      <w:r w:rsidR="005669A0" w:rsidRPr="00EA6DA0">
        <w:rPr>
          <w:rFonts w:ascii="Times New Roman" w:hAnsi="Times New Roman" w:cs="Times New Roman"/>
          <w:sz w:val="24"/>
          <w:szCs w:val="24"/>
          <w:lang w:val="en-US"/>
        </w:rPr>
        <w:t xml:space="preserve">domestic law, at least in respect of </w:t>
      </w:r>
      <w:r w:rsidR="00D87BFC">
        <w:rPr>
          <w:rFonts w:ascii="Times New Roman" w:hAnsi="Times New Roman" w:cs="Times New Roman"/>
          <w:sz w:val="24"/>
          <w:szCs w:val="24"/>
          <w:lang w:val="en-US"/>
        </w:rPr>
        <w:t xml:space="preserve">the </w:t>
      </w:r>
      <w:r w:rsidR="005669A0" w:rsidRPr="00EA6DA0">
        <w:rPr>
          <w:rFonts w:ascii="Times New Roman" w:hAnsi="Times New Roman" w:cs="Times New Roman"/>
          <w:sz w:val="24"/>
          <w:szCs w:val="24"/>
          <w:lang w:val="en-US"/>
        </w:rPr>
        <w:t>Convention rights</w:t>
      </w:r>
      <w:r w:rsidRPr="00EA6DA0">
        <w:rPr>
          <w:rStyle w:val="Odwoanieprzypisudolnego"/>
          <w:rFonts w:ascii="Times New Roman" w:hAnsi="Times New Roman" w:cs="Times New Roman"/>
          <w:sz w:val="24"/>
          <w:szCs w:val="24"/>
          <w:lang w:val="en-US"/>
        </w:rPr>
        <w:footnoteReference w:id="92"/>
      </w:r>
      <w:r w:rsidR="00EA6DA0">
        <w:rPr>
          <w:rFonts w:ascii="Times New Roman" w:hAnsi="Times New Roman" w:cs="Times New Roman"/>
          <w:sz w:val="24"/>
          <w:szCs w:val="24"/>
          <w:lang w:val="en-US"/>
        </w:rPr>
        <w:t>. However, the following</w:t>
      </w:r>
      <w:r w:rsidR="00124211">
        <w:rPr>
          <w:rFonts w:ascii="Times New Roman" w:hAnsi="Times New Roman" w:cs="Times New Roman"/>
          <w:sz w:val="24"/>
          <w:szCs w:val="24"/>
          <w:lang w:val="en-US"/>
        </w:rPr>
        <w:t xml:space="preserve"> question was added in</w:t>
      </w:r>
      <w:r w:rsidR="00EA6DA0">
        <w:rPr>
          <w:rFonts w:ascii="Times New Roman" w:hAnsi="Times New Roman" w:cs="Times New Roman"/>
          <w:sz w:val="24"/>
          <w:szCs w:val="24"/>
          <w:lang w:val="en-US"/>
        </w:rPr>
        <w:t xml:space="preserve"> </w:t>
      </w:r>
      <w:r w:rsidR="00124211" w:rsidRPr="00124211">
        <w:rPr>
          <w:rFonts w:ascii="Times New Roman" w:hAnsi="Times New Roman" w:cs="Times New Roman"/>
          <w:i/>
          <w:sz w:val="24"/>
          <w:szCs w:val="24"/>
          <w:lang w:val="en-US"/>
        </w:rPr>
        <w:t>Huang</w:t>
      </w:r>
      <w:r w:rsidR="00124211" w:rsidRPr="00124211">
        <w:rPr>
          <w:rStyle w:val="Odwoanieprzypisudolnego"/>
          <w:rFonts w:ascii="Times New Roman" w:hAnsi="Times New Roman" w:cs="Times New Roman"/>
          <w:sz w:val="24"/>
          <w:szCs w:val="24"/>
          <w:lang w:val="en-US"/>
        </w:rPr>
        <w:footnoteReference w:id="93"/>
      </w:r>
      <w:r w:rsidR="00124211" w:rsidRPr="00124211">
        <w:rPr>
          <w:rFonts w:ascii="Times New Roman" w:hAnsi="Times New Roman" w:cs="Times New Roman"/>
          <w:sz w:val="24"/>
          <w:szCs w:val="24"/>
          <w:lang w:val="en-US"/>
        </w:rPr>
        <w:t>:</w:t>
      </w:r>
    </w:p>
    <w:p w14:paraId="227A9F20" w14:textId="0CAFDCDD" w:rsidR="00124211" w:rsidRPr="00EA6DA0" w:rsidRDefault="00124211" w:rsidP="00124211">
      <w:pPr>
        <w:pStyle w:val="Akapitzlist"/>
        <w:numPr>
          <w:ilvl w:val="0"/>
          <w:numId w:val="17"/>
        </w:numPr>
        <w:jc w:val="both"/>
        <w:rPr>
          <w:rFonts w:ascii="Times New Roman" w:hAnsi="Times New Roman" w:cs="Times New Roman"/>
          <w:sz w:val="24"/>
          <w:szCs w:val="24"/>
          <w:lang w:val="en-US"/>
        </w:rPr>
      </w:pPr>
      <w:r w:rsidRPr="00EA6DA0">
        <w:rPr>
          <w:rFonts w:ascii="Times New Roman" w:hAnsi="Times New Roman" w:cs="Times New Roman"/>
          <w:sz w:val="24"/>
          <w:szCs w:val="24"/>
          <w:lang w:val="en-US"/>
        </w:rPr>
        <w:t>Does the measure strike</w:t>
      </w:r>
      <w:r w:rsidRPr="00EA6DA0">
        <w:rPr>
          <w:rFonts w:ascii="Times New Roman" w:hAnsi="Times New Roman" w:cs="Times New Roman"/>
          <w:i/>
          <w:sz w:val="24"/>
          <w:szCs w:val="24"/>
          <w:lang w:val="en-US"/>
        </w:rPr>
        <w:t xml:space="preserve"> a fair balance</w:t>
      </w:r>
      <w:r w:rsidRPr="00EA6DA0">
        <w:rPr>
          <w:rFonts w:ascii="Times New Roman" w:hAnsi="Times New Roman" w:cs="Times New Roman"/>
          <w:sz w:val="24"/>
          <w:szCs w:val="24"/>
          <w:lang w:val="en-US"/>
        </w:rPr>
        <w:t xml:space="preserve"> between competing interests, i.e. the individual’s rights and the interests of the community? This means that the impact of the measure on the individual’s rights must stand in fair proportion to the benefits of the measure in the light of the pursued aim (also called ‘proportionality </w:t>
      </w:r>
      <w:r w:rsidRPr="00EA6DA0">
        <w:rPr>
          <w:rFonts w:ascii="Times New Roman" w:hAnsi="Times New Roman" w:cs="Times New Roman"/>
          <w:i/>
          <w:sz w:val="24"/>
          <w:szCs w:val="24"/>
          <w:lang w:val="en-US"/>
        </w:rPr>
        <w:t>sensu stricto’</w:t>
      </w:r>
      <w:r w:rsidRPr="00EA6DA0">
        <w:rPr>
          <w:rFonts w:ascii="Times New Roman" w:hAnsi="Times New Roman" w:cs="Times New Roman"/>
          <w:sz w:val="24"/>
          <w:szCs w:val="24"/>
          <w:lang w:val="en-US"/>
        </w:rPr>
        <w:t>)</w:t>
      </w:r>
      <w:r w:rsidR="00E84B8A">
        <w:rPr>
          <w:rFonts w:ascii="Times New Roman" w:hAnsi="Times New Roman" w:cs="Times New Roman"/>
          <w:sz w:val="24"/>
          <w:szCs w:val="24"/>
          <w:lang w:val="en-US"/>
        </w:rPr>
        <w:t>.</w:t>
      </w:r>
    </w:p>
    <w:p w14:paraId="7A6097BA" w14:textId="73EC64BE" w:rsidR="00781035" w:rsidRDefault="00561856" w:rsidP="00781035">
      <w:pPr>
        <w:pStyle w:val="Tekstprzypisudolnego"/>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Although the content of the proportionality </w:t>
      </w:r>
      <w:r w:rsidR="00124211">
        <w:rPr>
          <w:rFonts w:ascii="Times New Roman" w:hAnsi="Times New Roman" w:cs="Times New Roman"/>
          <w:sz w:val="24"/>
          <w:szCs w:val="24"/>
          <w:lang w:val="en-US"/>
        </w:rPr>
        <w:t>principle</w:t>
      </w:r>
      <w:r>
        <w:rPr>
          <w:rFonts w:ascii="Times New Roman" w:hAnsi="Times New Roman" w:cs="Times New Roman"/>
          <w:sz w:val="24"/>
          <w:szCs w:val="24"/>
          <w:lang w:val="en-US"/>
        </w:rPr>
        <w:t xml:space="preserve"> has not always been consistent, it </w:t>
      </w:r>
      <w:r w:rsidR="00AF2FE6">
        <w:rPr>
          <w:rFonts w:ascii="Times New Roman" w:hAnsi="Times New Roman" w:cs="Times New Roman"/>
          <w:sz w:val="24"/>
          <w:szCs w:val="24"/>
          <w:lang w:val="en-US"/>
        </w:rPr>
        <w:t xml:space="preserve">now </w:t>
      </w:r>
      <w:r>
        <w:rPr>
          <w:rFonts w:ascii="Times New Roman" w:hAnsi="Times New Roman" w:cs="Times New Roman"/>
          <w:sz w:val="24"/>
          <w:szCs w:val="24"/>
          <w:lang w:val="en-US"/>
        </w:rPr>
        <w:t xml:space="preserve">seems generally accepted that the </w:t>
      </w:r>
      <w:r w:rsidR="00EA6DA0">
        <w:rPr>
          <w:rFonts w:ascii="Times New Roman" w:hAnsi="Times New Roman" w:cs="Times New Roman"/>
          <w:sz w:val="24"/>
          <w:szCs w:val="24"/>
          <w:lang w:val="en-US"/>
        </w:rPr>
        <w:t xml:space="preserve">proportionality test in UK domestic law comprises </w:t>
      </w:r>
      <w:r w:rsidRPr="00124211">
        <w:rPr>
          <w:rFonts w:ascii="Times New Roman" w:hAnsi="Times New Roman" w:cs="Times New Roman"/>
          <w:sz w:val="24"/>
          <w:szCs w:val="24"/>
          <w:lang w:val="en-US"/>
        </w:rPr>
        <w:t>the above four questions</w:t>
      </w:r>
      <w:r w:rsidR="00EA6DA0">
        <w:rPr>
          <w:rStyle w:val="Odwoanieprzypisudolnego"/>
          <w:rFonts w:ascii="Times New Roman" w:hAnsi="Times New Roman" w:cs="Times New Roman"/>
          <w:sz w:val="24"/>
          <w:szCs w:val="24"/>
          <w:lang w:val="en-US"/>
        </w:rPr>
        <w:footnoteReference w:id="94"/>
      </w:r>
      <w:r w:rsidR="00124211">
        <w:rPr>
          <w:rFonts w:ascii="Times New Roman" w:hAnsi="Times New Roman" w:cs="Times New Roman"/>
          <w:sz w:val="24"/>
          <w:szCs w:val="24"/>
          <w:lang w:val="en-US"/>
        </w:rPr>
        <w:t>.</w:t>
      </w:r>
      <w:r w:rsidR="00757138">
        <w:rPr>
          <w:rFonts w:ascii="Times New Roman" w:hAnsi="Times New Roman" w:cs="Times New Roman"/>
          <w:sz w:val="24"/>
          <w:szCs w:val="24"/>
          <w:lang w:val="en-US"/>
        </w:rPr>
        <w:t xml:space="preserve"> </w:t>
      </w:r>
      <w:r w:rsidR="006262BE">
        <w:rPr>
          <w:rFonts w:ascii="Times New Roman" w:hAnsi="Times New Roman" w:cs="Times New Roman"/>
          <w:sz w:val="24"/>
          <w:szCs w:val="24"/>
          <w:lang w:val="en-US"/>
        </w:rPr>
        <w:t xml:space="preserve">Therefore, this test will probably </w:t>
      </w:r>
      <w:r w:rsidR="00C91399">
        <w:rPr>
          <w:rFonts w:ascii="Times New Roman" w:hAnsi="Times New Roman" w:cs="Times New Roman"/>
          <w:sz w:val="24"/>
          <w:szCs w:val="24"/>
          <w:lang w:val="en-US"/>
        </w:rPr>
        <w:t xml:space="preserve">be </w:t>
      </w:r>
      <w:r w:rsidR="006262BE">
        <w:rPr>
          <w:rFonts w:ascii="Times New Roman" w:hAnsi="Times New Roman" w:cs="Times New Roman"/>
          <w:sz w:val="24"/>
          <w:szCs w:val="24"/>
          <w:lang w:val="en-US"/>
        </w:rPr>
        <w:t xml:space="preserve">the test that </w:t>
      </w:r>
      <w:r w:rsidR="005A1D1D">
        <w:rPr>
          <w:rFonts w:ascii="Times New Roman" w:hAnsi="Times New Roman" w:cs="Times New Roman"/>
          <w:sz w:val="24"/>
          <w:szCs w:val="24"/>
          <w:lang w:val="en-US"/>
        </w:rPr>
        <w:t xml:space="preserve">must </w:t>
      </w:r>
      <w:r w:rsidR="0090240A">
        <w:rPr>
          <w:rFonts w:ascii="Times New Roman" w:hAnsi="Times New Roman" w:cs="Times New Roman"/>
          <w:sz w:val="24"/>
          <w:szCs w:val="24"/>
          <w:lang w:val="en-US"/>
        </w:rPr>
        <w:t xml:space="preserve">be </w:t>
      </w:r>
      <w:r w:rsidR="005A1D1D">
        <w:rPr>
          <w:rFonts w:ascii="Times New Roman" w:hAnsi="Times New Roman" w:cs="Times New Roman"/>
          <w:sz w:val="24"/>
          <w:szCs w:val="24"/>
          <w:lang w:val="en-US"/>
        </w:rPr>
        <w:t>take</w:t>
      </w:r>
      <w:r w:rsidR="0090240A">
        <w:rPr>
          <w:rFonts w:ascii="Times New Roman" w:hAnsi="Times New Roman" w:cs="Times New Roman"/>
          <w:sz w:val="24"/>
          <w:szCs w:val="24"/>
          <w:lang w:val="en-US"/>
        </w:rPr>
        <w:t>n</w:t>
      </w:r>
      <w:r w:rsidR="005A1D1D">
        <w:rPr>
          <w:rFonts w:ascii="Times New Roman" w:hAnsi="Times New Roman" w:cs="Times New Roman"/>
          <w:sz w:val="24"/>
          <w:szCs w:val="24"/>
          <w:lang w:val="en-US"/>
        </w:rPr>
        <w:t xml:space="preserve"> into account when assessing the proportionality of </w:t>
      </w:r>
      <w:r w:rsidR="006262BE">
        <w:rPr>
          <w:rFonts w:ascii="Times New Roman" w:hAnsi="Times New Roman" w:cs="Times New Roman"/>
          <w:sz w:val="24"/>
          <w:szCs w:val="24"/>
          <w:lang w:val="en-US"/>
        </w:rPr>
        <w:t>the d</w:t>
      </w:r>
      <w:r w:rsidR="005A1D1D">
        <w:rPr>
          <w:rFonts w:ascii="Times New Roman" w:hAnsi="Times New Roman" w:cs="Times New Roman"/>
          <w:sz w:val="24"/>
          <w:szCs w:val="24"/>
          <w:lang w:val="en-US"/>
        </w:rPr>
        <w:t>irection to leave</w:t>
      </w:r>
      <w:r w:rsidR="00C91399">
        <w:rPr>
          <w:rFonts w:ascii="Times New Roman" w:hAnsi="Times New Roman" w:cs="Times New Roman"/>
          <w:sz w:val="24"/>
          <w:szCs w:val="24"/>
          <w:lang w:val="en-US"/>
        </w:rPr>
        <w:t>, so that the direction is compliant with the Convention rights</w:t>
      </w:r>
      <w:r w:rsidR="006262BE">
        <w:rPr>
          <w:rFonts w:ascii="Times New Roman" w:hAnsi="Times New Roman" w:cs="Times New Roman"/>
          <w:sz w:val="24"/>
          <w:szCs w:val="24"/>
          <w:lang w:val="en-US"/>
        </w:rPr>
        <w:t>.</w:t>
      </w:r>
    </w:p>
    <w:p w14:paraId="1A381B31" w14:textId="77777777" w:rsidR="00781035" w:rsidRDefault="00781035" w:rsidP="00781035">
      <w:pPr>
        <w:pStyle w:val="Tekstprzypisudolnego"/>
        <w:spacing w:line="276" w:lineRule="auto"/>
        <w:jc w:val="both"/>
        <w:rPr>
          <w:rFonts w:ascii="Times New Roman" w:hAnsi="Times New Roman" w:cs="Times New Roman"/>
          <w:sz w:val="24"/>
          <w:szCs w:val="24"/>
          <w:lang w:val="en-US"/>
        </w:rPr>
      </w:pPr>
    </w:p>
    <w:p w14:paraId="275ED30E" w14:textId="1CDEB68C" w:rsidR="003D2CC3" w:rsidRDefault="00FA0875" w:rsidP="00FC08E9">
      <w:pPr>
        <w:spacing w:after="0"/>
        <w:jc w:val="both"/>
        <w:rPr>
          <w:rFonts w:ascii="Times New Roman" w:hAnsi="Times New Roman" w:cs="Times New Roman"/>
          <w:sz w:val="24"/>
          <w:szCs w:val="24"/>
          <w:lang w:val="en-CA"/>
        </w:rPr>
      </w:pPr>
      <w:r>
        <w:rPr>
          <w:rFonts w:ascii="Times New Roman" w:hAnsi="Times New Roman" w:cs="Times New Roman"/>
          <w:sz w:val="24"/>
          <w:szCs w:val="24"/>
          <w:lang w:val="en-CA"/>
        </w:rPr>
        <w:t>I</w:t>
      </w:r>
      <w:r w:rsidR="008B22FC">
        <w:rPr>
          <w:rFonts w:ascii="Times New Roman" w:hAnsi="Times New Roman" w:cs="Times New Roman"/>
          <w:sz w:val="24"/>
          <w:szCs w:val="24"/>
          <w:lang w:val="en-CA"/>
        </w:rPr>
        <w:t xml:space="preserve">t is </w:t>
      </w:r>
      <w:r>
        <w:rPr>
          <w:rFonts w:ascii="Times New Roman" w:hAnsi="Times New Roman" w:cs="Times New Roman"/>
          <w:sz w:val="24"/>
          <w:szCs w:val="24"/>
          <w:lang w:val="en-CA"/>
        </w:rPr>
        <w:t xml:space="preserve">nevertheless </w:t>
      </w:r>
      <w:r w:rsidR="008B22FC">
        <w:rPr>
          <w:rFonts w:ascii="Times New Roman" w:hAnsi="Times New Roman" w:cs="Times New Roman"/>
          <w:sz w:val="24"/>
          <w:szCs w:val="24"/>
          <w:lang w:val="en-CA"/>
        </w:rPr>
        <w:t>sometimes difficult in practice to distinguish the</w:t>
      </w:r>
      <w:r w:rsidR="008B22FC">
        <w:rPr>
          <w:rFonts w:ascii="Times New Roman" w:hAnsi="Times New Roman" w:cs="Times New Roman"/>
          <w:sz w:val="24"/>
          <w:szCs w:val="24"/>
          <w:lang w:val="en-US"/>
        </w:rPr>
        <w:t xml:space="preserve"> seemingly independent criteria of the domestic proportionality test from each other</w:t>
      </w:r>
      <w:r w:rsidR="008B22FC">
        <w:rPr>
          <w:rStyle w:val="Odwoanieprzypisudolnego"/>
          <w:rFonts w:ascii="Times New Roman" w:hAnsi="Times New Roman" w:cs="Times New Roman"/>
          <w:sz w:val="24"/>
          <w:szCs w:val="24"/>
          <w:lang w:val="en-US"/>
        </w:rPr>
        <w:footnoteReference w:id="95"/>
      </w:r>
      <w:r w:rsidR="008B22FC">
        <w:rPr>
          <w:rFonts w:ascii="Times New Roman" w:hAnsi="Times New Roman" w:cs="Times New Roman"/>
          <w:sz w:val="24"/>
          <w:szCs w:val="24"/>
          <w:lang w:val="en-US"/>
        </w:rPr>
        <w:t xml:space="preserve">. Consequently, as articulated by Gordon, the entire proportionality review </w:t>
      </w:r>
      <w:r w:rsidR="008B22FC">
        <w:rPr>
          <w:rFonts w:ascii="Times New Roman" w:hAnsi="Times New Roman" w:cs="Times New Roman"/>
          <w:i/>
          <w:sz w:val="24"/>
          <w:szCs w:val="24"/>
          <w:lang w:val="en-US"/>
        </w:rPr>
        <w:t xml:space="preserve">de facto </w:t>
      </w:r>
      <w:r w:rsidR="008B22FC">
        <w:rPr>
          <w:rFonts w:ascii="Times New Roman" w:hAnsi="Times New Roman" w:cs="Times New Roman"/>
          <w:sz w:val="24"/>
          <w:szCs w:val="24"/>
          <w:lang w:val="en-US"/>
        </w:rPr>
        <w:t>requires no more than ‘a very general scrutiny of means and ends’</w:t>
      </w:r>
      <w:r w:rsidR="008B22FC">
        <w:rPr>
          <w:rStyle w:val="Odwoanieprzypisudolnego"/>
          <w:rFonts w:ascii="Times New Roman" w:hAnsi="Times New Roman" w:cs="Times New Roman"/>
          <w:sz w:val="24"/>
          <w:szCs w:val="24"/>
          <w:lang w:val="en-US"/>
        </w:rPr>
        <w:footnoteReference w:id="96"/>
      </w:r>
      <w:r w:rsidR="0051666C">
        <w:rPr>
          <w:rFonts w:ascii="Times New Roman" w:hAnsi="Times New Roman" w:cs="Times New Roman"/>
          <w:sz w:val="24"/>
          <w:szCs w:val="24"/>
          <w:lang w:val="en-US"/>
        </w:rPr>
        <w:t>, a balance to which also S</w:t>
      </w:r>
      <w:r w:rsidR="00E51D78">
        <w:rPr>
          <w:rFonts w:ascii="Times New Roman" w:hAnsi="Times New Roman" w:cs="Times New Roman"/>
          <w:sz w:val="24"/>
          <w:szCs w:val="24"/>
          <w:lang w:val="en-US"/>
        </w:rPr>
        <w:t>ection 35(3) ACPA expressly</w:t>
      </w:r>
      <w:r w:rsidR="00E51D78" w:rsidRPr="00E51D78">
        <w:rPr>
          <w:rFonts w:ascii="Times New Roman" w:hAnsi="Times New Roman" w:cs="Times New Roman"/>
          <w:sz w:val="24"/>
          <w:szCs w:val="24"/>
          <w:lang w:val="en-US"/>
        </w:rPr>
        <w:t xml:space="preserve"> </w:t>
      </w:r>
      <w:r w:rsidR="00E51D78">
        <w:rPr>
          <w:rFonts w:ascii="Times New Roman" w:hAnsi="Times New Roman" w:cs="Times New Roman"/>
          <w:sz w:val="24"/>
          <w:szCs w:val="24"/>
          <w:lang w:val="en-US"/>
        </w:rPr>
        <w:t>refers</w:t>
      </w:r>
      <w:r w:rsidR="0051666C">
        <w:rPr>
          <w:rFonts w:ascii="Times New Roman" w:hAnsi="Times New Roman" w:cs="Times New Roman"/>
          <w:sz w:val="24"/>
          <w:szCs w:val="24"/>
          <w:lang w:val="en-US"/>
        </w:rPr>
        <w:t>, as mentioned above</w:t>
      </w:r>
      <w:r w:rsidR="00E51D78">
        <w:rPr>
          <w:rFonts w:ascii="Times New Roman" w:hAnsi="Times New Roman" w:cs="Times New Roman"/>
          <w:sz w:val="24"/>
          <w:szCs w:val="24"/>
          <w:lang w:val="en-US"/>
        </w:rPr>
        <w:t>.</w:t>
      </w:r>
      <w:r w:rsidR="008B22FC" w:rsidRPr="006262BE">
        <w:rPr>
          <w:rFonts w:ascii="Times New Roman" w:hAnsi="Times New Roman" w:cs="Times New Roman"/>
          <w:color w:val="000000"/>
          <w:sz w:val="24"/>
          <w:szCs w:val="24"/>
          <w:shd w:val="clear" w:color="auto" w:fill="FFFFFF"/>
          <w:lang w:val="en-CA"/>
        </w:rPr>
        <w:t xml:space="preserve"> </w:t>
      </w:r>
      <w:r w:rsidR="006262BE" w:rsidRPr="006262BE">
        <w:rPr>
          <w:rFonts w:ascii="Times New Roman" w:hAnsi="Times New Roman" w:cs="Times New Roman"/>
          <w:color w:val="000000"/>
          <w:sz w:val="24"/>
          <w:szCs w:val="24"/>
          <w:shd w:val="clear" w:color="auto" w:fill="FFFFFF"/>
          <w:lang w:val="en-CA"/>
        </w:rPr>
        <w:t>However</w:t>
      </w:r>
      <w:r w:rsidR="00AB006D" w:rsidRPr="00AB006D">
        <w:rPr>
          <w:rFonts w:ascii="Times New Roman" w:hAnsi="Times New Roman" w:cs="Times New Roman"/>
          <w:color w:val="000000"/>
          <w:sz w:val="24"/>
          <w:szCs w:val="24"/>
          <w:shd w:val="clear" w:color="auto" w:fill="FFFFFF"/>
          <w:lang w:val="en-CA"/>
        </w:rPr>
        <w:t xml:space="preserve">, </w:t>
      </w:r>
      <w:r w:rsidR="00AB006D">
        <w:rPr>
          <w:rFonts w:ascii="Times New Roman" w:hAnsi="Times New Roman" w:cs="Times New Roman"/>
          <w:color w:val="000000"/>
          <w:sz w:val="24"/>
          <w:szCs w:val="24"/>
          <w:shd w:val="clear" w:color="auto" w:fill="FFFFFF"/>
          <w:lang w:val="en-CA"/>
        </w:rPr>
        <w:t>it</w:t>
      </w:r>
      <w:r w:rsidR="008B22FC" w:rsidRPr="00AB006D">
        <w:rPr>
          <w:rFonts w:ascii="Times New Roman" w:hAnsi="Times New Roman" w:cs="Times New Roman"/>
          <w:sz w:val="24"/>
          <w:szCs w:val="24"/>
          <w:lang w:val="en-US"/>
        </w:rPr>
        <w:t xml:space="preserve"> is important</w:t>
      </w:r>
      <w:r w:rsidR="008B22FC">
        <w:rPr>
          <w:rFonts w:ascii="Times New Roman" w:hAnsi="Times New Roman" w:cs="Times New Roman"/>
          <w:sz w:val="24"/>
          <w:szCs w:val="24"/>
          <w:lang w:val="en-US"/>
        </w:rPr>
        <w:t xml:space="preserve"> to point out that the fourth limb </w:t>
      </w:r>
      <w:r w:rsidR="006262BE">
        <w:rPr>
          <w:rFonts w:ascii="Times New Roman" w:hAnsi="Times New Roman" w:cs="Times New Roman"/>
          <w:sz w:val="24"/>
          <w:szCs w:val="24"/>
          <w:lang w:val="en-US"/>
        </w:rPr>
        <w:t xml:space="preserve">of the above-mentioned proportionality test </w:t>
      </w:r>
      <w:r w:rsidR="00E51D78">
        <w:rPr>
          <w:rFonts w:ascii="Times New Roman" w:hAnsi="Times New Roman" w:cs="Times New Roman"/>
          <w:sz w:val="24"/>
          <w:szCs w:val="24"/>
          <w:lang w:val="en-US"/>
        </w:rPr>
        <w:t xml:space="preserve">also requires </w:t>
      </w:r>
      <w:r w:rsidR="0090240A">
        <w:rPr>
          <w:rFonts w:ascii="Times New Roman" w:hAnsi="Times New Roman" w:cs="Times New Roman"/>
          <w:sz w:val="24"/>
          <w:szCs w:val="24"/>
          <w:lang w:val="en-US"/>
        </w:rPr>
        <w:t>taking</w:t>
      </w:r>
      <w:r w:rsidR="00E51D78">
        <w:rPr>
          <w:rFonts w:ascii="Times New Roman" w:hAnsi="Times New Roman" w:cs="Times New Roman"/>
          <w:sz w:val="24"/>
          <w:szCs w:val="24"/>
          <w:lang w:val="en-US"/>
        </w:rPr>
        <w:t xml:space="preserve"> into account t</w:t>
      </w:r>
      <w:r w:rsidR="008B22FC">
        <w:rPr>
          <w:rFonts w:ascii="Times New Roman" w:hAnsi="Times New Roman" w:cs="Times New Roman"/>
          <w:sz w:val="24"/>
          <w:szCs w:val="24"/>
          <w:lang w:val="en-US"/>
        </w:rPr>
        <w:t>he impact of the adopted measure for the individual’s rights</w:t>
      </w:r>
      <w:r w:rsidR="008B22FC" w:rsidRPr="000931C6">
        <w:rPr>
          <w:rFonts w:ascii="Times New Roman" w:hAnsi="Times New Roman" w:cs="Times New Roman"/>
          <w:sz w:val="24"/>
          <w:szCs w:val="24"/>
          <w:lang w:val="en-US"/>
        </w:rPr>
        <w:t xml:space="preserve">. </w:t>
      </w:r>
      <w:r w:rsidR="00AB006D">
        <w:rPr>
          <w:rFonts w:ascii="Times New Roman" w:hAnsi="Times New Roman" w:cs="Times New Roman"/>
          <w:sz w:val="24"/>
          <w:szCs w:val="24"/>
          <w:lang w:val="en-US"/>
        </w:rPr>
        <w:t xml:space="preserve">Therefore, </w:t>
      </w:r>
      <w:r w:rsidR="00A07771">
        <w:rPr>
          <w:rFonts w:ascii="Times New Roman" w:hAnsi="Times New Roman" w:cs="Times New Roman"/>
          <w:sz w:val="24"/>
          <w:szCs w:val="24"/>
          <w:lang w:val="en-US"/>
        </w:rPr>
        <w:t xml:space="preserve">as to the direction to leave, </w:t>
      </w:r>
      <w:r w:rsidR="00AB006D">
        <w:rPr>
          <w:rFonts w:ascii="Times New Roman" w:hAnsi="Times New Roman" w:cs="Times New Roman"/>
          <w:sz w:val="24"/>
          <w:szCs w:val="24"/>
          <w:lang w:val="en-US"/>
        </w:rPr>
        <w:t xml:space="preserve">the </w:t>
      </w:r>
      <w:r w:rsidR="0090240A">
        <w:rPr>
          <w:rFonts w:ascii="Times New Roman" w:hAnsi="Times New Roman" w:cs="Times New Roman"/>
          <w:sz w:val="24"/>
          <w:szCs w:val="24"/>
          <w:lang w:val="en-US"/>
        </w:rPr>
        <w:t>UK courts, as well as the constable in uniform who impose</w:t>
      </w:r>
      <w:r w:rsidR="0051666C">
        <w:rPr>
          <w:rFonts w:ascii="Times New Roman" w:hAnsi="Times New Roman" w:cs="Times New Roman"/>
          <w:sz w:val="24"/>
          <w:szCs w:val="24"/>
          <w:lang w:val="en-US"/>
        </w:rPr>
        <w:t>s</w:t>
      </w:r>
      <w:r w:rsidR="0090240A">
        <w:rPr>
          <w:rFonts w:ascii="Times New Roman" w:hAnsi="Times New Roman" w:cs="Times New Roman"/>
          <w:sz w:val="24"/>
          <w:szCs w:val="24"/>
          <w:lang w:val="en-US"/>
        </w:rPr>
        <w:t xml:space="preserve"> this direction</w:t>
      </w:r>
      <w:r w:rsidR="0051666C">
        <w:rPr>
          <w:rFonts w:ascii="Times New Roman" w:hAnsi="Times New Roman" w:cs="Times New Roman"/>
          <w:sz w:val="24"/>
          <w:szCs w:val="24"/>
          <w:lang w:val="en-US"/>
        </w:rPr>
        <w:t>,</w:t>
      </w:r>
      <w:r w:rsidR="00AB006D">
        <w:rPr>
          <w:rFonts w:ascii="Times New Roman" w:hAnsi="Times New Roman" w:cs="Times New Roman"/>
          <w:sz w:val="24"/>
          <w:szCs w:val="24"/>
          <w:lang w:val="en-US"/>
        </w:rPr>
        <w:t xml:space="preserve"> must not only balance the direction </w:t>
      </w:r>
      <w:r w:rsidR="00757138">
        <w:rPr>
          <w:rFonts w:ascii="Times New Roman" w:hAnsi="Times New Roman" w:cs="Times New Roman"/>
          <w:sz w:val="24"/>
          <w:szCs w:val="24"/>
          <w:lang w:val="en-US"/>
        </w:rPr>
        <w:t>and</w:t>
      </w:r>
      <w:r w:rsidR="00AB006D">
        <w:rPr>
          <w:rFonts w:ascii="Times New Roman" w:hAnsi="Times New Roman" w:cs="Times New Roman"/>
          <w:sz w:val="24"/>
          <w:szCs w:val="24"/>
          <w:lang w:val="en-US"/>
        </w:rPr>
        <w:t xml:space="preserve"> </w:t>
      </w:r>
      <w:r w:rsidR="0090240A">
        <w:rPr>
          <w:rFonts w:ascii="Times New Roman" w:hAnsi="Times New Roman" w:cs="Times New Roman"/>
          <w:sz w:val="24"/>
          <w:szCs w:val="24"/>
          <w:lang w:val="en-US"/>
        </w:rPr>
        <w:t>the</w:t>
      </w:r>
      <w:r w:rsidR="00AB006D">
        <w:rPr>
          <w:rFonts w:ascii="Times New Roman" w:hAnsi="Times New Roman" w:cs="Times New Roman"/>
          <w:sz w:val="24"/>
          <w:szCs w:val="24"/>
          <w:lang w:val="en-US"/>
        </w:rPr>
        <w:t xml:space="preserve"> </w:t>
      </w:r>
      <w:r w:rsidR="00757138">
        <w:rPr>
          <w:rFonts w:ascii="Times New Roman" w:hAnsi="Times New Roman" w:cs="Times New Roman"/>
          <w:sz w:val="24"/>
          <w:szCs w:val="24"/>
          <w:lang w:val="en-US"/>
        </w:rPr>
        <w:t xml:space="preserve">pursued </w:t>
      </w:r>
      <w:r w:rsidR="00AB006D">
        <w:rPr>
          <w:rFonts w:ascii="Times New Roman" w:hAnsi="Times New Roman" w:cs="Times New Roman"/>
          <w:sz w:val="24"/>
          <w:szCs w:val="24"/>
          <w:lang w:val="en-US"/>
        </w:rPr>
        <w:t xml:space="preserve">aim of maintaining public order. They must also take into account the consequences of the direction for the </w:t>
      </w:r>
      <w:r w:rsidR="00AB006D" w:rsidRPr="0090240A">
        <w:rPr>
          <w:rFonts w:ascii="Times New Roman" w:hAnsi="Times New Roman" w:cs="Times New Roman"/>
          <w:sz w:val="24"/>
          <w:szCs w:val="24"/>
          <w:lang w:val="en-US"/>
        </w:rPr>
        <w:t xml:space="preserve">individual’s </w:t>
      </w:r>
      <w:r w:rsidR="0090240A" w:rsidRPr="0090240A">
        <w:rPr>
          <w:rFonts w:ascii="Times New Roman" w:hAnsi="Times New Roman" w:cs="Times New Roman"/>
          <w:sz w:val="24"/>
          <w:szCs w:val="24"/>
          <w:lang w:val="en-US"/>
        </w:rPr>
        <w:t>fundamental rights</w:t>
      </w:r>
      <w:r w:rsidR="00AB006D" w:rsidRPr="0090240A">
        <w:rPr>
          <w:rFonts w:ascii="Times New Roman" w:hAnsi="Times New Roman" w:cs="Times New Roman"/>
          <w:sz w:val="24"/>
          <w:szCs w:val="24"/>
          <w:lang w:val="en-US"/>
        </w:rPr>
        <w:t xml:space="preserve">, more specifically </w:t>
      </w:r>
      <w:r w:rsidR="00A07771" w:rsidRPr="0090240A">
        <w:rPr>
          <w:rFonts w:ascii="Times New Roman" w:hAnsi="Times New Roman" w:cs="Times New Roman"/>
          <w:sz w:val="24"/>
          <w:szCs w:val="24"/>
          <w:lang w:val="en-US"/>
        </w:rPr>
        <w:t xml:space="preserve">the </w:t>
      </w:r>
      <w:r w:rsidR="00AB006D" w:rsidRPr="0090240A">
        <w:rPr>
          <w:rFonts w:ascii="Times New Roman" w:hAnsi="Times New Roman" w:cs="Times New Roman"/>
          <w:sz w:val="24"/>
          <w:szCs w:val="24"/>
          <w:lang w:val="en-US"/>
        </w:rPr>
        <w:t>right to freedom of movement</w:t>
      </w:r>
      <w:r w:rsidR="00A07771" w:rsidRPr="0090240A">
        <w:rPr>
          <w:rFonts w:ascii="Times New Roman" w:hAnsi="Times New Roman" w:cs="Times New Roman"/>
          <w:sz w:val="24"/>
          <w:szCs w:val="24"/>
          <w:lang w:val="en-US"/>
        </w:rPr>
        <w:t xml:space="preserve"> as</w:t>
      </w:r>
      <w:r w:rsidR="00A07771">
        <w:rPr>
          <w:rFonts w:ascii="Times New Roman" w:hAnsi="Times New Roman" w:cs="Times New Roman"/>
          <w:sz w:val="24"/>
          <w:szCs w:val="24"/>
          <w:lang w:val="en-US"/>
        </w:rPr>
        <w:t xml:space="preserve"> guaranteed via the Convention rights</w:t>
      </w:r>
      <w:r w:rsidR="00781781">
        <w:rPr>
          <w:rFonts w:ascii="Times New Roman" w:hAnsi="Times New Roman" w:cs="Times New Roman"/>
          <w:sz w:val="24"/>
          <w:szCs w:val="24"/>
          <w:lang w:val="en-US"/>
        </w:rPr>
        <w:t xml:space="preserve">. </w:t>
      </w:r>
      <w:r w:rsidR="008F54F6">
        <w:rPr>
          <w:rFonts w:ascii="Times New Roman" w:hAnsi="Times New Roman" w:cs="Times New Roman"/>
          <w:sz w:val="24"/>
          <w:szCs w:val="24"/>
          <w:lang w:val="en-US"/>
        </w:rPr>
        <w:t xml:space="preserve">Hence, the UK proportionality principle primarily comprises </w:t>
      </w:r>
      <w:r w:rsidR="00AB006D">
        <w:rPr>
          <w:rFonts w:ascii="Times New Roman" w:hAnsi="Times New Roman" w:cs="Times New Roman"/>
          <w:sz w:val="24"/>
          <w:szCs w:val="24"/>
          <w:lang w:val="en-US"/>
        </w:rPr>
        <w:t>an ‘aims-means-consequences’</w:t>
      </w:r>
      <w:r w:rsidR="008F54F6">
        <w:rPr>
          <w:rFonts w:ascii="Times New Roman" w:hAnsi="Times New Roman" w:cs="Times New Roman"/>
          <w:sz w:val="24"/>
          <w:szCs w:val="24"/>
          <w:lang w:val="en-US"/>
        </w:rPr>
        <w:t xml:space="preserve"> test</w:t>
      </w:r>
      <w:r w:rsidR="00030BD3">
        <w:rPr>
          <w:rFonts w:ascii="Times New Roman" w:hAnsi="Times New Roman" w:cs="Times New Roman"/>
          <w:sz w:val="24"/>
          <w:szCs w:val="24"/>
          <w:lang w:val="en-US"/>
        </w:rPr>
        <w:t>,</w:t>
      </w:r>
      <w:r w:rsidR="00AF2FE6">
        <w:rPr>
          <w:rFonts w:ascii="Times New Roman" w:hAnsi="Times New Roman" w:cs="Times New Roman"/>
          <w:sz w:val="24"/>
          <w:szCs w:val="24"/>
          <w:lang w:val="en-CA"/>
        </w:rPr>
        <w:t xml:space="preserve"> which complies with the test mostly applied by the European Court of Human Rights</w:t>
      </w:r>
      <w:r w:rsidR="0007067E" w:rsidRPr="0007067E">
        <w:rPr>
          <w:rFonts w:ascii="Times New Roman" w:hAnsi="Times New Roman" w:cs="Times New Roman"/>
          <w:sz w:val="24"/>
          <w:szCs w:val="24"/>
          <w:lang w:val="en-US"/>
        </w:rPr>
        <w:t>.</w:t>
      </w:r>
      <w:r w:rsidR="00441938" w:rsidRPr="003872AE">
        <w:rPr>
          <w:rFonts w:ascii="Times New Roman" w:hAnsi="Times New Roman" w:cs="Times New Roman"/>
          <w:sz w:val="24"/>
          <w:szCs w:val="24"/>
          <w:lang w:val="en-CA"/>
        </w:rPr>
        <w:t xml:space="preserve"> </w:t>
      </w:r>
    </w:p>
    <w:p w14:paraId="65A66E41" w14:textId="77777777" w:rsidR="008B22FC" w:rsidRPr="001874B8" w:rsidRDefault="008B22FC" w:rsidP="002941D2">
      <w:pPr>
        <w:spacing w:after="0"/>
        <w:jc w:val="both"/>
        <w:rPr>
          <w:rFonts w:ascii="Times New Roman" w:hAnsi="Times New Roman" w:cs="Times New Roman"/>
          <w:sz w:val="24"/>
          <w:szCs w:val="24"/>
          <w:lang w:val="en-CA"/>
        </w:rPr>
      </w:pPr>
    </w:p>
    <w:p w14:paraId="602F403D" w14:textId="7E958EF8" w:rsidR="00645AE9" w:rsidRDefault="00FA0875" w:rsidP="00AB5252">
      <w:pPr>
        <w:spacing w:after="0"/>
        <w:jc w:val="both"/>
        <w:rPr>
          <w:rFonts w:ascii="Times New Roman" w:hAnsi="Times New Roman" w:cs="Times New Roman"/>
          <w:sz w:val="24"/>
          <w:szCs w:val="24"/>
          <w:lang w:val="en-US"/>
        </w:rPr>
      </w:pPr>
      <w:r>
        <w:rPr>
          <w:rFonts w:ascii="Times New Roman" w:hAnsi="Times New Roman" w:cs="Times New Roman"/>
          <w:sz w:val="24"/>
          <w:szCs w:val="24"/>
          <w:lang w:val="en-CA"/>
        </w:rPr>
        <w:t>However</w:t>
      </w:r>
      <w:r w:rsidR="008F54F6">
        <w:rPr>
          <w:rFonts w:ascii="Times New Roman" w:hAnsi="Times New Roman" w:cs="Times New Roman"/>
          <w:sz w:val="24"/>
          <w:szCs w:val="24"/>
          <w:lang w:val="en-CA"/>
        </w:rPr>
        <w:t xml:space="preserve">, </w:t>
      </w:r>
      <w:r w:rsidR="00865806">
        <w:rPr>
          <w:rFonts w:ascii="Times New Roman" w:hAnsi="Times New Roman" w:cs="Times New Roman"/>
          <w:sz w:val="24"/>
          <w:szCs w:val="24"/>
          <w:lang w:val="en-CA"/>
        </w:rPr>
        <w:t xml:space="preserve">it is not because </w:t>
      </w:r>
      <w:r w:rsidR="0051666C">
        <w:rPr>
          <w:rFonts w:ascii="Times New Roman" w:hAnsi="Times New Roman" w:cs="Times New Roman"/>
          <w:sz w:val="24"/>
          <w:szCs w:val="24"/>
          <w:lang w:val="en-CA"/>
        </w:rPr>
        <w:t>t</w:t>
      </w:r>
      <w:r w:rsidR="002C0688">
        <w:rPr>
          <w:rFonts w:ascii="Times New Roman" w:hAnsi="Times New Roman" w:cs="Times New Roman"/>
          <w:sz w:val="24"/>
          <w:szCs w:val="24"/>
          <w:lang w:val="en-CA"/>
        </w:rPr>
        <w:t>he above</w:t>
      </w:r>
      <w:r w:rsidR="00865806">
        <w:rPr>
          <w:rFonts w:ascii="Times New Roman" w:hAnsi="Times New Roman" w:cs="Times New Roman"/>
          <w:sz w:val="24"/>
          <w:szCs w:val="24"/>
          <w:lang w:val="en-CA"/>
        </w:rPr>
        <w:t xml:space="preserve"> </w:t>
      </w:r>
      <w:r w:rsidR="00865806">
        <w:rPr>
          <w:rFonts w:ascii="Times New Roman" w:hAnsi="Times New Roman" w:cs="Times New Roman"/>
          <w:sz w:val="24"/>
          <w:szCs w:val="24"/>
          <w:lang w:val="en-US"/>
        </w:rPr>
        <w:t>‘aims-means-consequences’</w:t>
      </w:r>
      <w:r w:rsidR="0031493A">
        <w:rPr>
          <w:rFonts w:ascii="Times New Roman" w:hAnsi="Times New Roman" w:cs="Times New Roman"/>
          <w:sz w:val="24"/>
          <w:szCs w:val="24"/>
          <w:lang w:val="en-US"/>
        </w:rPr>
        <w:t xml:space="preserve"> test</w:t>
      </w:r>
      <w:r w:rsidR="007D1105">
        <w:rPr>
          <w:rFonts w:ascii="Times New Roman" w:hAnsi="Times New Roman" w:cs="Times New Roman"/>
          <w:sz w:val="24"/>
          <w:szCs w:val="24"/>
          <w:lang w:val="en-US"/>
        </w:rPr>
        <w:t xml:space="preserve"> </w:t>
      </w:r>
      <w:r w:rsidR="007D1105">
        <w:rPr>
          <w:rFonts w:ascii="Times New Roman" w:hAnsi="Times New Roman" w:cs="Times New Roman"/>
          <w:sz w:val="24"/>
          <w:szCs w:val="24"/>
          <w:lang w:val="en-CA"/>
        </w:rPr>
        <w:t>is to be considered as the</w:t>
      </w:r>
      <w:r w:rsidR="00865806">
        <w:rPr>
          <w:rFonts w:ascii="Times New Roman" w:hAnsi="Times New Roman" w:cs="Times New Roman"/>
          <w:sz w:val="24"/>
          <w:szCs w:val="24"/>
          <w:lang w:val="en-CA"/>
        </w:rPr>
        <w:t xml:space="preserve"> established </w:t>
      </w:r>
      <w:r w:rsidR="002C0688">
        <w:rPr>
          <w:rFonts w:ascii="Times New Roman" w:hAnsi="Times New Roman" w:cs="Times New Roman"/>
          <w:sz w:val="24"/>
          <w:szCs w:val="24"/>
          <w:lang w:val="en-CA"/>
        </w:rPr>
        <w:t>domestic proportionality test,</w:t>
      </w:r>
      <w:r w:rsidR="00C91399">
        <w:rPr>
          <w:rFonts w:ascii="Times New Roman" w:hAnsi="Times New Roman" w:cs="Times New Roman"/>
          <w:sz w:val="24"/>
          <w:szCs w:val="24"/>
          <w:lang w:val="en-CA"/>
        </w:rPr>
        <w:t xml:space="preserve"> or</w:t>
      </w:r>
      <w:r w:rsidR="002C0688">
        <w:rPr>
          <w:rFonts w:ascii="Times New Roman" w:hAnsi="Times New Roman" w:cs="Times New Roman"/>
          <w:sz w:val="24"/>
          <w:szCs w:val="24"/>
          <w:lang w:val="en-CA"/>
        </w:rPr>
        <w:t xml:space="preserve"> at least with regard to Convention rights, and that i</w:t>
      </w:r>
      <w:r w:rsidR="00C91399">
        <w:rPr>
          <w:rFonts w:ascii="Times New Roman" w:hAnsi="Times New Roman" w:cs="Times New Roman"/>
          <w:sz w:val="24"/>
          <w:szCs w:val="24"/>
          <w:lang w:val="en-CA"/>
        </w:rPr>
        <w:t>t i</w:t>
      </w:r>
      <w:r w:rsidR="002C0688">
        <w:rPr>
          <w:rFonts w:ascii="Times New Roman" w:hAnsi="Times New Roman" w:cs="Times New Roman"/>
          <w:sz w:val="24"/>
          <w:szCs w:val="24"/>
          <w:lang w:val="en-CA"/>
        </w:rPr>
        <w:t>s the te</w:t>
      </w:r>
      <w:r w:rsidR="0051666C">
        <w:rPr>
          <w:rFonts w:ascii="Times New Roman" w:hAnsi="Times New Roman" w:cs="Times New Roman"/>
          <w:sz w:val="24"/>
          <w:szCs w:val="24"/>
          <w:lang w:val="en-CA"/>
        </w:rPr>
        <w:t xml:space="preserve">st to which section 35(2) ACPA </w:t>
      </w:r>
      <w:r w:rsidR="002C0688">
        <w:rPr>
          <w:rFonts w:ascii="Times New Roman" w:hAnsi="Times New Roman" w:cs="Times New Roman"/>
          <w:sz w:val="24"/>
          <w:szCs w:val="24"/>
          <w:lang w:val="en-CA"/>
        </w:rPr>
        <w:t>refers,</w:t>
      </w:r>
      <w:r w:rsidR="00865806">
        <w:rPr>
          <w:rFonts w:ascii="Times New Roman" w:hAnsi="Times New Roman" w:cs="Times New Roman"/>
          <w:sz w:val="24"/>
          <w:szCs w:val="24"/>
          <w:lang w:val="en-CA"/>
        </w:rPr>
        <w:t xml:space="preserve"> </w:t>
      </w:r>
      <w:r w:rsidR="0051666C">
        <w:rPr>
          <w:rFonts w:ascii="Times New Roman" w:hAnsi="Times New Roman" w:cs="Times New Roman"/>
          <w:sz w:val="24"/>
          <w:szCs w:val="24"/>
          <w:lang w:val="en-CA"/>
        </w:rPr>
        <w:t xml:space="preserve">albeit partly, </w:t>
      </w:r>
      <w:r w:rsidR="00865806">
        <w:rPr>
          <w:rFonts w:ascii="Times New Roman" w:hAnsi="Times New Roman" w:cs="Times New Roman"/>
          <w:sz w:val="24"/>
          <w:szCs w:val="24"/>
          <w:lang w:val="en-CA"/>
        </w:rPr>
        <w:t>that this is the only test</w:t>
      </w:r>
      <w:r w:rsidR="009B5669">
        <w:rPr>
          <w:rFonts w:ascii="Times New Roman" w:hAnsi="Times New Roman" w:cs="Times New Roman"/>
          <w:sz w:val="24"/>
          <w:szCs w:val="24"/>
          <w:lang w:val="en-CA"/>
        </w:rPr>
        <w:t xml:space="preserve"> </w:t>
      </w:r>
      <w:r w:rsidR="002C0688">
        <w:rPr>
          <w:rFonts w:ascii="Times New Roman" w:hAnsi="Times New Roman" w:cs="Times New Roman"/>
          <w:sz w:val="24"/>
          <w:szCs w:val="24"/>
          <w:lang w:val="en-CA"/>
        </w:rPr>
        <w:t xml:space="preserve">that </w:t>
      </w:r>
      <w:r w:rsidR="00E51D78">
        <w:rPr>
          <w:rFonts w:ascii="Times New Roman" w:hAnsi="Times New Roman" w:cs="Times New Roman"/>
          <w:sz w:val="24"/>
          <w:szCs w:val="24"/>
          <w:lang w:val="en-CA"/>
        </w:rPr>
        <w:t xml:space="preserve">is </w:t>
      </w:r>
      <w:r w:rsidR="002C0688">
        <w:rPr>
          <w:rFonts w:ascii="Times New Roman" w:hAnsi="Times New Roman" w:cs="Times New Roman"/>
          <w:sz w:val="24"/>
          <w:szCs w:val="24"/>
          <w:lang w:val="en-CA"/>
        </w:rPr>
        <w:t>appli</w:t>
      </w:r>
      <w:r w:rsidR="00E51D78">
        <w:rPr>
          <w:rFonts w:ascii="Times New Roman" w:hAnsi="Times New Roman" w:cs="Times New Roman"/>
          <w:sz w:val="24"/>
          <w:szCs w:val="24"/>
          <w:lang w:val="en-CA"/>
        </w:rPr>
        <w:t>cable</w:t>
      </w:r>
      <w:r w:rsidR="002C0688">
        <w:rPr>
          <w:rFonts w:ascii="Times New Roman" w:hAnsi="Times New Roman" w:cs="Times New Roman"/>
          <w:sz w:val="24"/>
          <w:szCs w:val="24"/>
          <w:lang w:val="en-CA"/>
        </w:rPr>
        <w:t xml:space="preserve"> to the direction to leave</w:t>
      </w:r>
      <w:r w:rsidR="00865806">
        <w:rPr>
          <w:rFonts w:ascii="Times New Roman" w:hAnsi="Times New Roman" w:cs="Times New Roman"/>
          <w:sz w:val="24"/>
          <w:szCs w:val="24"/>
          <w:lang w:val="en-CA"/>
        </w:rPr>
        <w:t xml:space="preserve">. </w:t>
      </w:r>
      <w:r w:rsidR="009B5669">
        <w:rPr>
          <w:rFonts w:ascii="Times New Roman" w:hAnsi="Times New Roman" w:cs="Times New Roman"/>
          <w:sz w:val="24"/>
          <w:szCs w:val="24"/>
          <w:lang w:val="en-CA"/>
        </w:rPr>
        <w:t xml:space="preserve">After all, </w:t>
      </w:r>
      <w:r w:rsidR="0090240A">
        <w:rPr>
          <w:rFonts w:ascii="Times New Roman" w:hAnsi="Times New Roman" w:cs="Times New Roman"/>
          <w:sz w:val="24"/>
          <w:szCs w:val="24"/>
          <w:lang w:val="en-CA"/>
        </w:rPr>
        <w:t xml:space="preserve">the UK courts and </w:t>
      </w:r>
      <w:r w:rsidR="002C0688">
        <w:rPr>
          <w:rFonts w:ascii="Times New Roman" w:hAnsi="Times New Roman" w:cs="Times New Roman"/>
          <w:sz w:val="24"/>
          <w:szCs w:val="24"/>
          <w:lang w:val="en-CA"/>
        </w:rPr>
        <w:t xml:space="preserve">the </w:t>
      </w:r>
      <w:r w:rsidR="002C0688" w:rsidRPr="0090240A">
        <w:rPr>
          <w:rFonts w:ascii="Times New Roman" w:hAnsi="Times New Roman" w:cs="Times New Roman"/>
          <w:sz w:val="24"/>
          <w:szCs w:val="24"/>
          <w:lang w:val="en-CA"/>
        </w:rPr>
        <w:t>competent constable</w:t>
      </w:r>
      <w:r w:rsidR="00F04B72" w:rsidRPr="0090240A">
        <w:rPr>
          <w:rFonts w:ascii="Times New Roman" w:hAnsi="Times New Roman" w:cs="Times New Roman"/>
          <w:sz w:val="24"/>
          <w:szCs w:val="24"/>
          <w:lang w:val="en-CA"/>
        </w:rPr>
        <w:t xml:space="preserve"> must also take into account </w:t>
      </w:r>
      <w:r w:rsidR="00865806" w:rsidRPr="0090240A">
        <w:rPr>
          <w:rFonts w:ascii="Times New Roman" w:hAnsi="Times New Roman" w:cs="Times New Roman"/>
          <w:sz w:val="24"/>
          <w:szCs w:val="24"/>
          <w:lang w:val="en-US"/>
        </w:rPr>
        <w:t>the requirements resulting from Article 6</w:t>
      </w:r>
      <w:r w:rsidR="00865806">
        <w:rPr>
          <w:rFonts w:ascii="Times New Roman" w:hAnsi="Times New Roman" w:cs="Times New Roman"/>
          <w:sz w:val="24"/>
          <w:szCs w:val="24"/>
          <w:lang w:val="en-US"/>
        </w:rPr>
        <w:t xml:space="preserve"> ECHR</w:t>
      </w:r>
      <w:r w:rsidR="002C0688">
        <w:rPr>
          <w:rFonts w:ascii="Times New Roman" w:hAnsi="Times New Roman" w:cs="Times New Roman"/>
          <w:sz w:val="24"/>
          <w:szCs w:val="24"/>
          <w:lang w:val="en-US"/>
        </w:rPr>
        <w:t>, more specifically</w:t>
      </w:r>
      <w:r w:rsidR="009B5669">
        <w:rPr>
          <w:rFonts w:ascii="Times New Roman" w:hAnsi="Times New Roman" w:cs="Times New Roman"/>
          <w:sz w:val="24"/>
          <w:szCs w:val="24"/>
          <w:lang w:val="en-US"/>
        </w:rPr>
        <w:t xml:space="preserve"> the required distinction between </w:t>
      </w:r>
      <w:r w:rsidR="002C0688">
        <w:rPr>
          <w:rFonts w:ascii="Times New Roman" w:hAnsi="Times New Roman" w:cs="Times New Roman"/>
          <w:sz w:val="24"/>
          <w:szCs w:val="24"/>
          <w:lang w:val="en-US"/>
        </w:rPr>
        <w:t>criminal and non-criminal matters</w:t>
      </w:r>
      <w:r w:rsidR="009B5669">
        <w:rPr>
          <w:rFonts w:ascii="Times New Roman" w:hAnsi="Times New Roman" w:cs="Times New Roman"/>
          <w:sz w:val="24"/>
          <w:szCs w:val="24"/>
          <w:lang w:val="en-US"/>
        </w:rPr>
        <w:t xml:space="preserve">. </w:t>
      </w:r>
      <w:r w:rsidR="002C0688">
        <w:rPr>
          <w:rFonts w:ascii="Times New Roman" w:hAnsi="Times New Roman" w:cs="Times New Roman"/>
          <w:sz w:val="24"/>
          <w:szCs w:val="24"/>
          <w:lang w:val="en-US"/>
        </w:rPr>
        <w:t>This</w:t>
      </w:r>
      <w:r w:rsidR="009B5669">
        <w:rPr>
          <w:rFonts w:ascii="Times New Roman" w:hAnsi="Times New Roman" w:cs="Times New Roman"/>
          <w:sz w:val="24"/>
          <w:szCs w:val="24"/>
          <w:lang w:val="en-US"/>
        </w:rPr>
        <w:t xml:space="preserve"> distinction is </w:t>
      </w:r>
      <w:r w:rsidR="002C0688">
        <w:rPr>
          <w:rFonts w:ascii="Times New Roman" w:hAnsi="Times New Roman" w:cs="Times New Roman"/>
          <w:sz w:val="24"/>
          <w:szCs w:val="24"/>
          <w:lang w:val="en-US"/>
        </w:rPr>
        <w:t>increasingly taken into account by the UK courts, as discussed above</w:t>
      </w:r>
      <w:r w:rsidR="009B5669">
        <w:rPr>
          <w:rFonts w:ascii="Times New Roman" w:hAnsi="Times New Roman" w:cs="Times New Roman"/>
          <w:sz w:val="24"/>
          <w:szCs w:val="24"/>
          <w:lang w:val="en-US"/>
        </w:rPr>
        <w:t>.</w:t>
      </w:r>
      <w:r w:rsidR="00865806">
        <w:rPr>
          <w:rFonts w:ascii="Times New Roman" w:hAnsi="Times New Roman" w:cs="Times New Roman"/>
          <w:sz w:val="24"/>
          <w:szCs w:val="24"/>
          <w:lang w:val="en-US"/>
        </w:rPr>
        <w:t xml:space="preserve"> However, up until now, this distinction is primarily made with regard to the </w:t>
      </w:r>
      <w:r w:rsidR="009B5669">
        <w:rPr>
          <w:rFonts w:ascii="Times New Roman" w:hAnsi="Times New Roman" w:cs="Times New Roman"/>
          <w:sz w:val="24"/>
          <w:szCs w:val="24"/>
          <w:lang w:val="en-US"/>
        </w:rPr>
        <w:t xml:space="preserve">applicable </w:t>
      </w:r>
      <w:r w:rsidR="00865806">
        <w:rPr>
          <w:rFonts w:ascii="Times New Roman" w:hAnsi="Times New Roman" w:cs="Times New Roman"/>
          <w:sz w:val="24"/>
          <w:szCs w:val="24"/>
          <w:lang w:val="en-US"/>
        </w:rPr>
        <w:t>procedural safeguards</w:t>
      </w:r>
      <w:r w:rsidR="009B5669">
        <w:rPr>
          <w:rFonts w:ascii="Times New Roman" w:hAnsi="Times New Roman" w:cs="Times New Roman"/>
          <w:sz w:val="24"/>
          <w:szCs w:val="24"/>
          <w:lang w:val="en-US"/>
        </w:rPr>
        <w:t xml:space="preserve"> </w:t>
      </w:r>
      <w:r w:rsidR="00865806">
        <w:rPr>
          <w:rFonts w:ascii="Times New Roman" w:hAnsi="Times New Roman" w:cs="Times New Roman"/>
          <w:sz w:val="24"/>
          <w:szCs w:val="24"/>
          <w:lang w:val="en-US"/>
        </w:rPr>
        <w:t>guaranteed in Article 6</w:t>
      </w:r>
      <w:r w:rsidR="009B5669">
        <w:rPr>
          <w:rFonts w:ascii="Times New Roman" w:hAnsi="Times New Roman" w:cs="Times New Roman"/>
          <w:sz w:val="24"/>
          <w:szCs w:val="24"/>
          <w:lang w:val="en-US"/>
        </w:rPr>
        <w:t xml:space="preserve"> ECHR</w:t>
      </w:r>
      <w:r w:rsidR="00865806">
        <w:rPr>
          <w:rStyle w:val="Odwoanieprzypisudolnego"/>
          <w:rFonts w:ascii="Times New Roman" w:hAnsi="Times New Roman" w:cs="Times New Roman"/>
          <w:sz w:val="24"/>
          <w:szCs w:val="24"/>
          <w:lang w:val="en-US"/>
        </w:rPr>
        <w:footnoteReference w:id="97"/>
      </w:r>
      <w:r w:rsidR="00865806">
        <w:rPr>
          <w:rFonts w:ascii="Times New Roman" w:hAnsi="Times New Roman" w:cs="Times New Roman"/>
          <w:sz w:val="24"/>
          <w:szCs w:val="24"/>
          <w:lang w:val="en-US"/>
        </w:rPr>
        <w:t xml:space="preserve">, but not </w:t>
      </w:r>
      <w:r w:rsidR="002C0688">
        <w:rPr>
          <w:rFonts w:ascii="Times New Roman" w:hAnsi="Times New Roman" w:cs="Times New Roman"/>
          <w:sz w:val="24"/>
          <w:szCs w:val="24"/>
          <w:lang w:val="en-US"/>
        </w:rPr>
        <w:t xml:space="preserve">also </w:t>
      </w:r>
      <w:r w:rsidR="00865806">
        <w:rPr>
          <w:rFonts w:ascii="Times New Roman" w:hAnsi="Times New Roman" w:cs="Times New Roman"/>
          <w:sz w:val="24"/>
          <w:szCs w:val="24"/>
          <w:lang w:val="en-US"/>
        </w:rPr>
        <w:t>as regards the different content of the proportionality principle</w:t>
      </w:r>
      <w:r w:rsidR="009B5669">
        <w:rPr>
          <w:rFonts w:ascii="Times New Roman" w:hAnsi="Times New Roman" w:cs="Times New Roman"/>
          <w:sz w:val="24"/>
          <w:szCs w:val="24"/>
          <w:lang w:val="en-US"/>
        </w:rPr>
        <w:t>, which presumably results f</w:t>
      </w:r>
      <w:r w:rsidR="00865806">
        <w:rPr>
          <w:rFonts w:ascii="Times New Roman" w:hAnsi="Times New Roman" w:cs="Times New Roman"/>
          <w:sz w:val="24"/>
          <w:szCs w:val="24"/>
          <w:lang w:val="en-US"/>
        </w:rPr>
        <w:t>rom that Art</w:t>
      </w:r>
      <w:r w:rsidR="0051666C">
        <w:rPr>
          <w:rFonts w:ascii="Times New Roman" w:hAnsi="Times New Roman" w:cs="Times New Roman"/>
          <w:sz w:val="24"/>
          <w:szCs w:val="24"/>
          <w:lang w:val="en-US"/>
        </w:rPr>
        <w:t>icle as well.</w:t>
      </w:r>
      <w:r w:rsidR="00865806">
        <w:rPr>
          <w:rFonts w:ascii="Times New Roman" w:hAnsi="Times New Roman" w:cs="Times New Roman"/>
          <w:sz w:val="24"/>
          <w:szCs w:val="24"/>
          <w:lang w:val="en-US"/>
        </w:rPr>
        <w:t xml:space="preserve"> </w:t>
      </w:r>
      <w:r w:rsidR="0090240A">
        <w:rPr>
          <w:rFonts w:ascii="Times New Roman" w:hAnsi="Times New Roman" w:cs="Times New Roman"/>
          <w:sz w:val="24"/>
          <w:szCs w:val="24"/>
          <w:lang w:val="en-US"/>
        </w:rPr>
        <w:t xml:space="preserve">Thus, the UK courts do not appear to make a similar distinction as is present in the Belgian </w:t>
      </w:r>
      <w:r w:rsidR="00907419">
        <w:rPr>
          <w:rFonts w:ascii="Times New Roman" w:hAnsi="Times New Roman" w:cs="Times New Roman"/>
          <w:sz w:val="24"/>
          <w:szCs w:val="24"/>
          <w:lang w:val="en-US"/>
        </w:rPr>
        <w:t>Council</w:t>
      </w:r>
      <w:r w:rsidR="0090240A">
        <w:rPr>
          <w:rFonts w:ascii="Times New Roman" w:hAnsi="Times New Roman" w:cs="Times New Roman"/>
          <w:sz w:val="24"/>
          <w:szCs w:val="24"/>
          <w:lang w:val="en-US"/>
        </w:rPr>
        <w:t xml:space="preserve"> of State’s case law, </w:t>
      </w:r>
      <w:r w:rsidR="0051666C">
        <w:rPr>
          <w:rFonts w:ascii="Times New Roman" w:hAnsi="Times New Roman" w:cs="Times New Roman"/>
          <w:sz w:val="24"/>
          <w:szCs w:val="24"/>
          <w:lang w:val="en-US"/>
        </w:rPr>
        <w:t>with regard</w:t>
      </w:r>
      <w:r w:rsidR="0090240A">
        <w:rPr>
          <w:rFonts w:ascii="Times New Roman" w:hAnsi="Times New Roman" w:cs="Times New Roman"/>
          <w:sz w:val="24"/>
          <w:szCs w:val="24"/>
          <w:lang w:val="en-US"/>
        </w:rPr>
        <w:t xml:space="preserve"> to the applicable proportionality test</w:t>
      </w:r>
      <w:r w:rsidR="0051666C">
        <w:rPr>
          <w:rFonts w:ascii="Times New Roman" w:hAnsi="Times New Roman" w:cs="Times New Roman"/>
          <w:sz w:val="24"/>
          <w:szCs w:val="24"/>
          <w:lang w:val="en-US"/>
        </w:rPr>
        <w:t xml:space="preserve"> in the light of Article 6 ECHR</w:t>
      </w:r>
      <w:r w:rsidR="0090240A">
        <w:rPr>
          <w:rFonts w:ascii="Times New Roman" w:hAnsi="Times New Roman" w:cs="Times New Roman"/>
          <w:sz w:val="24"/>
          <w:szCs w:val="24"/>
          <w:lang w:val="en-US"/>
        </w:rPr>
        <w:t xml:space="preserve">. </w:t>
      </w:r>
      <w:r w:rsidR="0051666C">
        <w:rPr>
          <w:rFonts w:ascii="Times New Roman" w:hAnsi="Times New Roman" w:cs="Times New Roman"/>
          <w:sz w:val="24"/>
          <w:szCs w:val="24"/>
          <w:lang w:val="en-US"/>
        </w:rPr>
        <w:t xml:space="preserve">They </w:t>
      </w:r>
      <w:r w:rsidR="0090240A">
        <w:rPr>
          <w:rFonts w:ascii="Times New Roman" w:hAnsi="Times New Roman" w:cs="Times New Roman"/>
          <w:sz w:val="24"/>
          <w:szCs w:val="24"/>
          <w:lang w:val="en-US"/>
        </w:rPr>
        <w:t xml:space="preserve">seem to apply </w:t>
      </w:r>
      <w:r w:rsidR="001B06AE">
        <w:rPr>
          <w:rFonts w:ascii="Times New Roman" w:hAnsi="Times New Roman" w:cs="Times New Roman"/>
          <w:sz w:val="24"/>
          <w:szCs w:val="24"/>
          <w:lang w:val="en-US"/>
        </w:rPr>
        <w:t xml:space="preserve">only </w:t>
      </w:r>
      <w:r w:rsidR="0090240A">
        <w:rPr>
          <w:rFonts w:ascii="Times New Roman" w:hAnsi="Times New Roman" w:cs="Times New Roman"/>
          <w:sz w:val="24"/>
          <w:szCs w:val="24"/>
          <w:lang w:val="en-US"/>
        </w:rPr>
        <w:t>the established ‘aims-means-consequences’ test</w:t>
      </w:r>
      <w:r w:rsidR="0051666C">
        <w:rPr>
          <w:rFonts w:ascii="Times New Roman" w:hAnsi="Times New Roman" w:cs="Times New Roman"/>
          <w:sz w:val="24"/>
          <w:szCs w:val="24"/>
          <w:lang w:val="en-US"/>
        </w:rPr>
        <w:t>, at least in respect of the Convention rights</w:t>
      </w:r>
      <w:r w:rsidR="00645AE9">
        <w:rPr>
          <w:rFonts w:ascii="Times New Roman" w:hAnsi="Times New Roman" w:cs="Times New Roman"/>
          <w:sz w:val="24"/>
          <w:szCs w:val="24"/>
          <w:lang w:val="en-US"/>
        </w:rPr>
        <w:t xml:space="preserve">. </w:t>
      </w:r>
    </w:p>
    <w:p w14:paraId="5EBDE4A9" w14:textId="77777777" w:rsidR="00645AE9" w:rsidRDefault="00645AE9" w:rsidP="00AB5252">
      <w:pPr>
        <w:spacing w:after="0"/>
        <w:jc w:val="both"/>
        <w:rPr>
          <w:rFonts w:ascii="Times New Roman" w:hAnsi="Times New Roman" w:cs="Times New Roman"/>
          <w:sz w:val="24"/>
          <w:szCs w:val="24"/>
          <w:lang w:val="en-US"/>
        </w:rPr>
      </w:pPr>
    </w:p>
    <w:p w14:paraId="1C66A049" w14:textId="0378F66D" w:rsidR="00907419" w:rsidRDefault="00FA0875" w:rsidP="00AB5252">
      <w:pPr>
        <w:spacing w:after="0"/>
        <w:jc w:val="both"/>
        <w:rPr>
          <w:rFonts w:ascii="Times New Roman" w:hAnsi="Times New Roman" w:cs="Times New Roman"/>
          <w:color w:val="000000"/>
          <w:sz w:val="24"/>
          <w:szCs w:val="24"/>
          <w:lang w:val="en-CA"/>
        </w:rPr>
      </w:pPr>
      <w:r>
        <w:rPr>
          <w:rFonts w:ascii="Times New Roman" w:hAnsi="Times New Roman" w:cs="Times New Roman"/>
          <w:sz w:val="24"/>
          <w:szCs w:val="24"/>
          <w:lang w:val="en-US"/>
        </w:rPr>
        <w:t>I</w:t>
      </w:r>
      <w:r w:rsidR="00645AE9">
        <w:rPr>
          <w:rFonts w:ascii="Times New Roman" w:hAnsi="Times New Roman" w:cs="Times New Roman"/>
          <w:sz w:val="24"/>
          <w:szCs w:val="24"/>
          <w:lang w:val="en-US"/>
        </w:rPr>
        <w:t xml:space="preserve">n my opinion, </w:t>
      </w:r>
      <w:r>
        <w:rPr>
          <w:rFonts w:ascii="Times New Roman" w:hAnsi="Times New Roman" w:cs="Times New Roman"/>
          <w:sz w:val="24"/>
          <w:szCs w:val="24"/>
          <w:lang w:val="en-US"/>
        </w:rPr>
        <w:t xml:space="preserve">though, </w:t>
      </w:r>
      <w:r w:rsidR="00645AE9">
        <w:rPr>
          <w:rFonts w:ascii="Times New Roman" w:hAnsi="Times New Roman" w:cs="Times New Roman"/>
          <w:sz w:val="24"/>
          <w:szCs w:val="24"/>
          <w:lang w:val="en-US"/>
        </w:rPr>
        <w:t xml:space="preserve">it might be possible that, to be in accordance with Article 6 ECHR, </w:t>
      </w:r>
      <w:r w:rsidR="0051666C">
        <w:rPr>
          <w:rFonts w:ascii="Times New Roman" w:hAnsi="Times New Roman" w:cs="Times New Roman"/>
          <w:sz w:val="24"/>
          <w:szCs w:val="24"/>
          <w:lang w:val="en-US"/>
        </w:rPr>
        <w:t>the UK courts</w:t>
      </w:r>
      <w:r w:rsidR="00645AE9" w:rsidRPr="00907419">
        <w:rPr>
          <w:rFonts w:ascii="Times New Roman" w:hAnsi="Times New Roman" w:cs="Times New Roman"/>
          <w:sz w:val="24"/>
          <w:szCs w:val="24"/>
          <w:lang w:val="en-US"/>
        </w:rPr>
        <w:t xml:space="preserve"> must take into account the nature of the measure</w:t>
      </w:r>
      <w:r w:rsidR="00907419" w:rsidRPr="00907419">
        <w:rPr>
          <w:rFonts w:ascii="Times New Roman" w:hAnsi="Times New Roman" w:cs="Times New Roman"/>
          <w:sz w:val="24"/>
          <w:szCs w:val="24"/>
          <w:lang w:val="en-US"/>
        </w:rPr>
        <w:t xml:space="preserve">. </w:t>
      </w:r>
      <w:r w:rsidR="001B06AE">
        <w:rPr>
          <w:rFonts w:ascii="Times New Roman" w:hAnsi="Times New Roman" w:cs="Times New Roman"/>
          <w:sz w:val="24"/>
          <w:szCs w:val="24"/>
          <w:lang w:val="en-US"/>
        </w:rPr>
        <w:t>It can be argued that they</w:t>
      </w:r>
      <w:r w:rsidR="00907419" w:rsidRPr="00907419">
        <w:rPr>
          <w:rFonts w:ascii="Times New Roman" w:hAnsi="Times New Roman" w:cs="Times New Roman"/>
          <w:sz w:val="24"/>
          <w:szCs w:val="24"/>
          <w:lang w:val="en-US"/>
        </w:rPr>
        <w:t xml:space="preserve"> should make a similar distinction as the one present in the Belgian</w:t>
      </w:r>
      <w:r w:rsidR="00645AE9" w:rsidRPr="00907419">
        <w:rPr>
          <w:rFonts w:ascii="Times New Roman" w:hAnsi="Times New Roman" w:cs="Times New Roman"/>
          <w:sz w:val="24"/>
          <w:szCs w:val="24"/>
          <w:lang w:val="en-US"/>
        </w:rPr>
        <w:t xml:space="preserve"> Council of State</w:t>
      </w:r>
      <w:r w:rsidR="00907419" w:rsidRPr="00907419">
        <w:rPr>
          <w:rFonts w:ascii="Times New Roman" w:hAnsi="Times New Roman" w:cs="Times New Roman"/>
          <w:sz w:val="24"/>
          <w:szCs w:val="24"/>
          <w:lang w:val="en-US"/>
        </w:rPr>
        <w:t>’s case law and distinguish between the applicable proportionality test to punitive</w:t>
      </w:r>
      <w:r w:rsidR="00907419">
        <w:rPr>
          <w:rFonts w:ascii="Times New Roman" w:hAnsi="Times New Roman" w:cs="Times New Roman"/>
          <w:sz w:val="24"/>
          <w:szCs w:val="24"/>
          <w:lang w:val="en-US"/>
        </w:rPr>
        <w:t xml:space="preserve"> measures and the test applicable to preventive measures</w:t>
      </w:r>
      <w:r w:rsidR="00645AE9">
        <w:rPr>
          <w:rFonts w:ascii="Times New Roman" w:hAnsi="Times New Roman" w:cs="Times New Roman"/>
          <w:sz w:val="24"/>
          <w:szCs w:val="24"/>
          <w:lang w:val="en-US"/>
        </w:rPr>
        <w:t xml:space="preserve">. </w:t>
      </w:r>
      <w:r w:rsidR="00F43041">
        <w:rPr>
          <w:rFonts w:ascii="Times New Roman" w:hAnsi="Times New Roman" w:cs="Times New Roman"/>
          <w:sz w:val="24"/>
          <w:szCs w:val="24"/>
          <w:lang w:val="en-US"/>
        </w:rPr>
        <w:t>I</w:t>
      </w:r>
      <w:r w:rsidR="00AB5252">
        <w:rPr>
          <w:rFonts w:ascii="Times New Roman" w:hAnsi="Times New Roman" w:cs="Times New Roman"/>
          <w:sz w:val="24"/>
          <w:szCs w:val="24"/>
          <w:lang w:val="en-US"/>
        </w:rPr>
        <w:t xml:space="preserve">f the measure is to be considered as </w:t>
      </w:r>
      <w:r w:rsidR="00907419">
        <w:rPr>
          <w:rFonts w:ascii="Times New Roman" w:hAnsi="Times New Roman" w:cs="Times New Roman"/>
          <w:sz w:val="24"/>
          <w:szCs w:val="24"/>
          <w:lang w:val="en-US"/>
        </w:rPr>
        <w:t>punitive</w:t>
      </w:r>
      <w:r w:rsidR="00AB5252">
        <w:rPr>
          <w:rFonts w:ascii="Times New Roman" w:hAnsi="Times New Roman" w:cs="Times New Roman"/>
          <w:sz w:val="24"/>
          <w:szCs w:val="24"/>
          <w:lang w:val="en-US"/>
        </w:rPr>
        <w:t xml:space="preserve"> within the meaning of Article 6 ECHR</w:t>
      </w:r>
      <w:r w:rsidR="00907419">
        <w:rPr>
          <w:rFonts w:ascii="Times New Roman" w:hAnsi="Times New Roman" w:cs="Times New Roman"/>
          <w:sz w:val="24"/>
          <w:szCs w:val="24"/>
          <w:lang w:val="en-US"/>
        </w:rPr>
        <w:t xml:space="preserve"> (i.e. a criminal charge)</w:t>
      </w:r>
      <w:r w:rsidR="0051666C">
        <w:rPr>
          <w:rFonts w:ascii="Times New Roman" w:hAnsi="Times New Roman" w:cs="Times New Roman"/>
          <w:sz w:val="24"/>
          <w:szCs w:val="24"/>
          <w:lang w:val="en-US"/>
        </w:rPr>
        <w:t>, it</w:t>
      </w:r>
      <w:r w:rsidR="00344340">
        <w:rPr>
          <w:rFonts w:ascii="Times New Roman" w:hAnsi="Times New Roman" w:cs="Times New Roman"/>
          <w:sz w:val="24"/>
          <w:szCs w:val="24"/>
          <w:lang w:val="en-US"/>
        </w:rPr>
        <w:t xml:space="preserve"> appear</w:t>
      </w:r>
      <w:r w:rsidR="0051666C">
        <w:rPr>
          <w:rFonts w:ascii="Times New Roman" w:hAnsi="Times New Roman" w:cs="Times New Roman"/>
          <w:sz w:val="24"/>
          <w:szCs w:val="24"/>
          <w:lang w:val="en-US"/>
        </w:rPr>
        <w:t>s</w:t>
      </w:r>
      <w:r w:rsidR="00AB5252">
        <w:rPr>
          <w:rFonts w:ascii="Times New Roman" w:hAnsi="Times New Roman" w:cs="Times New Roman"/>
          <w:sz w:val="24"/>
          <w:szCs w:val="24"/>
          <w:lang w:val="en-US"/>
        </w:rPr>
        <w:t xml:space="preserve"> from the Strasbourg Court’s case law that </w:t>
      </w:r>
      <w:r w:rsidR="00344340">
        <w:rPr>
          <w:rFonts w:ascii="Times New Roman" w:hAnsi="Times New Roman" w:cs="Times New Roman"/>
          <w:sz w:val="24"/>
          <w:szCs w:val="24"/>
          <w:lang w:val="en-US"/>
        </w:rPr>
        <w:t xml:space="preserve">it </w:t>
      </w:r>
      <w:r w:rsidR="00AB5252">
        <w:rPr>
          <w:rFonts w:ascii="Times New Roman" w:hAnsi="Times New Roman" w:cs="Times New Roman"/>
          <w:sz w:val="24"/>
          <w:szCs w:val="24"/>
          <w:lang w:val="en-US"/>
        </w:rPr>
        <w:t xml:space="preserve">must meet the criminal ‘means-facts’ test, which is not applicable to mere preventive measures. </w:t>
      </w:r>
      <w:r w:rsidR="00907419">
        <w:rPr>
          <w:rFonts w:ascii="Times New Roman" w:hAnsi="Times New Roman" w:cs="Times New Roman"/>
          <w:sz w:val="24"/>
          <w:szCs w:val="24"/>
          <w:lang w:val="en-US"/>
        </w:rPr>
        <w:t xml:space="preserve">As to the </w:t>
      </w:r>
      <w:r w:rsidR="00AB5252">
        <w:rPr>
          <w:rFonts w:ascii="Times New Roman" w:hAnsi="Times New Roman" w:cs="Times New Roman"/>
          <w:sz w:val="24"/>
          <w:szCs w:val="24"/>
          <w:lang w:val="en-US"/>
        </w:rPr>
        <w:t>direction to leave</w:t>
      </w:r>
      <w:r w:rsidR="00907419">
        <w:rPr>
          <w:rFonts w:ascii="Times New Roman" w:hAnsi="Times New Roman" w:cs="Times New Roman"/>
          <w:sz w:val="24"/>
          <w:szCs w:val="24"/>
          <w:lang w:val="en-US"/>
        </w:rPr>
        <w:t xml:space="preserve">, it is </w:t>
      </w:r>
      <w:r w:rsidR="00AB5252">
        <w:rPr>
          <w:rFonts w:ascii="Times New Roman" w:hAnsi="Times New Roman" w:cs="Times New Roman"/>
          <w:sz w:val="24"/>
          <w:szCs w:val="24"/>
          <w:lang w:val="en-US"/>
        </w:rPr>
        <w:t xml:space="preserve">primarily regarded as a </w:t>
      </w:r>
      <w:r w:rsidR="00344340">
        <w:rPr>
          <w:rFonts w:ascii="Times New Roman" w:hAnsi="Times New Roman" w:cs="Times New Roman"/>
          <w:sz w:val="24"/>
          <w:szCs w:val="24"/>
          <w:lang w:val="en-US"/>
        </w:rPr>
        <w:t>civil, i.e. non-criminal</w:t>
      </w:r>
      <w:r w:rsidR="00AB5252">
        <w:rPr>
          <w:rFonts w:ascii="Times New Roman" w:hAnsi="Times New Roman" w:cs="Times New Roman"/>
          <w:sz w:val="24"/>
          <w:szCs w:val="24"/>
          <w:lang w:val="en-US"/>
        </w:rPr>
        <w:t xml:space="preserve"> </w:t>
      </w:r>
      <w:r w:rsidR="0051666C">
        <w:rPr>
          <w:rFonts w:ascii="Times New Roman" w:hAnsi="Times New Roman" w:cs="Times New Roman"/>
          <w:sz w:val="24"/>
          <w:szCs w:val="24"/>
          <w:lang w:val="en-US"/>
        </w:rPr>
        <w:t xml:space="preserve">measure </w:t>
      </w:r>
      <w:r w:rsidR="00AB5252">
        <w:rPr>
          <w:rFonts w:ascii="Times New Roman" w:hAnsi="Times New Roman" w:cs="Times New Roman"/>
          <w:sz w:val="24"/>
          <w:szCs w:val="24"/>
          <w:lang w:val="en-US"/>
        </w:rPr>
        <w:t xml:space="preserve">under UK domestic law, </w:t>
      </w:r>
      <w:r w:rsidR="00907419">
        <w:rPr>
          <w:rFonts w:ascii="Times New Roman" w:hAnsi="Times New Roman" w:cs="Times New Roman"/>
          <w:sz w:val="24"/>
          <w:szCs w:val="24"/>
          <w:lang w:val="en-US"/>
        </w:rPr>
        <w:t xml:space="preserve">so that the criminal ‘means-fact’ is not applicable. However, </w:t>
      </w:r>
      <w:r w:rsidR="00AB5252">
        <w:rPr>
          <w:rFonts w:ascii="Times New Roman" w:hAnsi="Times New Roman" w:cs="Times New Roman"/>
          <w:sz w:val="24"/>
          <w:szCs w:val="24"/>
          <w:lang w:val="en-US"/>
        </w:rPr>
        <w:t xml:space="preserve">this does not prevent the UK courts to decide in a particular case that the </w:t>
      </w:r>
      <w:r w:rsidR="00344340">
        <w:rPr>
          <w:rFonts w:ascii="Times New Roman" w:hAnsi="Times New Roman" w:cs="Times New Roman"/>
          <w:sz w:val="24"/>
          <w:szCs w:val="24"/>
          <w:lang w:val="en-US"/>
        </w:rPr>
        <w:t>direction to leave</w:t>
      </w:r>
      <w:r w:rsidR="00AB5252">
        <w:rPr>
          <w:rFonts w:ascii="Times New Roman" w:hAnsi="Times New Roman" w:cs="Times New Roman"/>
          <w:sz w:val="24"/>
          <w:szCs w:val="24"/>
          <w:lang w:val="en-US"/>
        </w:rPr>
        <w:t xml:space="preserve"> is in reality imposed as a criminal charge</w:t>
      </w:r>
      <w:r w:rsidR="00907419">
        <w:rPr>
          <w:rFonts w:ascii="Times New Roman" w:hAnsi="Times New Roman" w:cs="Times New Roman"/>
          <w:sz w:val="24"/>
          <w:szCs w:val="24"/>
          <w:lang w:val="en-US"/>
        </w:rPr>
        <w:t xml:space="preserve"> within the meaning of Article 6 ECHR</w:t>
      </w:r>
      <w:r w:rsidR="00AB5252">
        <w:rPr>
          <w:rFonts w:ascii="Times New Roman" w:hAnsi="Times New Roman" w:cs="Times New Roman"/>
          <w:sz w:val="24"/>
          <w:szCs w:val="24"/>
          <w:lang w:val="en-US"/>
        </w:rPr>
        <w:t xml:space="preserve">, as discussed above. </w:t>
      </w:r>
      <w:r w:rsidR="00907419">
        <w:rPr>
          <w:rFonts w:ascii="Times New Roman" w:hAnsi="Times New Roman" w:cs="Times New Roman"/>
          <w:color w:val="000000"/>
          <w:sz w:val="24"/>
          <w:szCs w:val="24"/>
          <w:lang w:val="en-CA"/>
        </w:rPr>
        <w:t>If this is the case, the imposed direction to leave should meet the criminal</w:t>
      </w:r>
      <w:r w:rsidR="003607F7">
        <w:rPr>
          <w:rFonts w:ascii="Times New Roman" w:hAnsi="Times New Roman" w:cs="Times New Roman"/>
          <w:color w:val="000000"/>
          <w:sz w:val="24"/>
          <w:szCs w:val="24"/>
          <w:lang w:val="en-CA"/>
        </w:rPr>
        <w:t xml:space="preserve"> ‘means-facts’ test</w:t>
      </w:r>
      <w:r w:rsidR="00907419">
        <w:rPr>
          <w:rFonts w:ascii="Times New Roman" w:hAnsi="Times New Roman" w:cs="Times New Roman"/>
          <w:color w:val="000000"/>
          <w:sz w:val="24"/>
          <w:szCs w:val="24"/>
          <w:lang w:val="en-CA"/>
        </w:rPr>
        <w:t>.</w:t>
      </w:r>
    </w:p>
    <w:p w14:paraId="68861E96" w14:textId="77777777" w:rsidR="00907419" w:rsidRDefault="00907419" w:rsidP="00AB5252">
      <w:pPr>
        <w:spacing w:after="0"/>
        <w:jc w:val="both"/>
        <w:rPr>
          <w:rFonts w:ascii="Times New Roman" w:hAnsi="Times New Roman" w:cs="Times New Roman"/>
          <w:color w:val="000000"/>
          <w:sz w:val="24"/>
          <w:szCs w:val="24"/>
          <w:lang w:val="en-CA"/>
        </w:rPr>
      </w:pPr>
    </w:p>
    <w:p w14:paraId="34EBD8FA" w14:textId="0DFE774D" w:rsidR="00907419" w:rsidRDefault="003607F7" w:rsidP="00AB5252">
      <w:pPr>
        <w:spacing w:after="0"/>
        <w:jc w:val="both"/>
        <w:rPr>
          <w:rFonts w:ascii="Times New Roman" w:hAnsi="Times New Roman" w:cs="Times New Roman"/>
          <w:color w:val="000000"/>
          <w:sz w:val="24"/>
          <w:szCs w:val="24"/>
          <w:lang w:val="en-CA"/>
        </w:rPr>
      </w:pPr>
      <w:r>
        <w:rPr>
          <w:rFonts w:ascii="Times New Roman" w:hAnsi="Times New Roman" w:cs="Times New Roman"/>
          <w:sz w:val="24"/>
          <w:szCs w:val="24"/>
          <w:lang w:val="en-US"/>
        </w:rPr>
        <w:t xml:space="preserve">Moreover, the distinction between criminal and non-criminal measures is not the only </w:t>
      </w:r>
      <w:r w:rsidR="00907419">
        <w:rPr>
          <w:rFonts w:ascii="Times New Roman" w:hAnsi="Times New Roman" w:cs="Times New Roman"/>
          <w:sz w:val="24"/>
          <w:szCs w:val="24"/>
          <w:lang w:val="en-US"/>
        </w:rPr>
        <w:t>distinction which the UK courts, as well as t</w:t>
      </w:r>
      <w:r>
        <w:rPr>
          <w:rFonts w:ascii="Times New Roman" w:hAnsi="Times New Roman" w:cs="Times New Roman"/>
          <w:sz w:val="24"/>
          <w:szCs w:val="24"/>
          <w:lang w:val="en-US"/>
        </w:rPr>
        <w:t xml:space="preserve">he constable </w:t>
      </w:r>
      <w:r w:rsidR="0051666C">
        <w:rPr>
          <w:rFonts w:ascii="Times New Roman" w:hAnsi="Times New Roman" w:cs="Times New Roman"/>
          <w:sz w:val="24"/>
          <w:szCs w:val="24"/>
          <w:lang w:val="en-US"/>
        </w:rPr>
        <w:t>who impose</w:t>
      </w:r>
      <w:r w:rsidR="00F43041">
        <w:rPr>
          <w:rFonts w:ascii="Times New Roman" w:hAnsi="Times New Roman" w:cs="Times New Roman"/>
          <w:sz w:val="24"/>
          <w:szCs w:val="24"/>
          <w:lang w:val="en-US"/>
        </w:rPr>
        <w:t>s</w:t>
      </w:r>
      <w:r w:rsidR="0051666C">
        <w:rPr>
          <w:rFonts w:ascii="Times New Roman" w:hAnsi="Times New Roman" w:cs="Times New Roman"/>
          <w:sz w:val="24"/>
          <w:szCs w:val="24"/>
          <w:lang w:val="en-US"/>
        </w:rPr>
        <w:t xml:space="preserve"> the direction to leave, </w:t>
      </w:r>
      <w:r>
        <w:rPr>
          <w:rFonts w:ascii="Times New Roman" w:hAnsi="Times New Roman" w:cs="Times New Roman"/>
          <w:sz w:val="24"/>
          <w:szCs w:val="24"/>
          <w:lang w:val="en-US"/>
        </w:rPr>
        <w:t xml:space="preserve">must take into account. </w:t>
      </w:r>
      <w:r w:rsidR="00863F5E">
        <w:rPr>
          <w:rFonts w:ascii="Times New Roman" w:hAnsi="Times New Roman" w:cs="Times New Roman"/>
          <w:sz w:val="24"/>
          <w:szCs w:val="24"/>
          <w:lang w:val="en-US"/>
        </w:rPr>
        <w:t>T</w:t>
      </w:r>
      <w:r>
        <w:rPr>
          <w:rFonts w:ascii="Times New Roman" w:hAnsi="Times New Roman" w:cs="Times New Roman"/>
          <w:sz w:val="24"/>
          <w:szCs w:val="24"/>
          <w:lang w:val="en-US"/>
        </w:rPr>
        <w:t xml:space="preserve">he Strasbourg Court’s </w:t>
      </w:r>
      <w:r w:rsidRPr="00CC56F9">
        <w:rPr>
          <w:rFonts w:ascii="Times New Roman" w:hAnsi="Times New Roman" w:cs="Times New Roman"/>
          <w:sz w:val="24"/>
          <w:szCs w:val="24"/>
          <w:lang w:val="en-US"/>
        </w:rPr>
        <w:t xml:space="preserve">case law also distinguishes between civil and non-civil matters, based on Article 6 ECHR. </w:t>
      </w:r>
      <w:r w:rsidR="00315D20">
        <w:rPr>
          <w:rFonts w:ascii="Times New Roman" w:hAnsi="Times New Roman" w:cs="Times New Roman"/>
          <w:sz w:val="24"/>
          <w:szCs w:val="24"/>
          <w:lang w:val="en-US"/>
        </w:rPr>
        <w:t>A</w:t>
      </w:r>
      <w:r w:rsidR="00315D20" w:rsidRPr="00CC56F9">
        <w:rPr>
          <w:rFonts w:ascii="Times New Roman" w:hAnsi="Times New Roman" w:cs="Times New Roman"/>
          <w:sz w:val="24"/>
          <w:szCs w:val="24"/>
          <w:lang w:val="en-US"/>
        </w:rPr>
        <w:t>s discussed above</w:t>
      </w:r>
      <w:r w:rsidR="00315D20">
        <w:rPr>
          <w:rFonts w:ascii="Times New Roman" w:hAnsi="Times New Roman" w:cs="Times New Roman"/>
          <w:sz w:val="24"/>
          <w:szCs w:val="24"/>
          <w:lang w:val="en-US"/>
        </w:rPr>
        <w:t>, t</w:t>
      </w:r>
      <w:r w:rsidR="00F43041" w:rsidRPr="00CC56F9">
        <w:rPr>
          <w:rFonts w:ascii="Times New Roman" w:hAnsi="Times New Roman" w:cs="Times New Roman"/>
          <w:sz w:val="24"/>
          <w:szCs w:val="24"/>
          <w:lang w:val="en-US"/>
        </w:rPr>
        <w:t xml:space="preserve">he UK courts have already confirmed </w:t>
      </w:r>
      <w:r w:rsidR="00CC56F9" w:rsidRPr="00CC56F9">
        <w:rPr>
          <w:rFonts w:ascii="Times New Roman" w:hAnsi="Times New Roman" w:cs="Times New Roman"/>
          <w:sz w:val="24"/>
          <w:szCs w:val="24"/>
          <w:lang w:val="en-US"/>
        </w:rPr>
        <w:t>the</w:t>
      </w:r>
      <w:r w:rsidR="00F43041" w:rsidRPr="00CC56F9">
        <w:rPr>
          <w:rFonts w:ascii="Times New Roman" w:hAnsi="Times New Roman" w:cs="Times New Roman"/>
          <w:sz w:val="24"/>
          <w:szCs w:val="24"/>
          <w:lang w:val="en-US"/>
        </w:rPr>
        <w:t xml:space="preserve"> classification </w:t>
      </w:r>
      <w:r w:rsidR="00CC56F9" w:rsidRPr="00CC56F9">
        <w:rPr>
          <w:rFonts w:ascii="Times New Roman" w:hAnsi="Times New Roman" w:cs="Times New Roman"/>
          <w:sz w:val="24"/>
          <w:szCs w:val="24"/>
          <w:lang w:val="en-US"/>
        </w:rPr>
        <w:t xml:space="preserve">as civil within the </w:t>
      </w:r>
      <w:r w:rsidR="00CC56F9" w:rsidRPr="00315D20">
        <w:rPr>
          <w:rFonts w:ascii="Times New Roman" w:hAnsi="Times New Roman" w:cs="Times New Roman"/>
          <w:sz w:val="24"/>
          <w:szCs w:val="24"/>
          <w:lang w:val="en-US"/>
        </w:rPr>
        <w:t xml:space="preserve">meaning of Article 6 ECHR </w:t>
      </w:r>
      <w:r w:rsidR="00F43041" w:rsidRPr="00315D20">
        <w:rPr>
          <w:rFonts w:ascii="Times New Roman" w:hAnsi="Times New Roman" w:cs="Times New Roman"/>
          <w:sz w:val="24"/>
          <w:szCs w:val="24"/>
          <w:lang w:val="en-US"/>
        </w:rPr>
        <w:t xml:space="preserve">with regard to certain freedom-restricting public order powers. </w:t>
      </w:r>
      <w:r w:rsidR="00932555">
        <w:rPr>
          <w:rFonts w:ascii="Times New Roman" w:hAnsi="Times New Roman" w:cs="Times New Roman"/>
          <w:sz w:val="24"/>
          <w:szCs w:val="24"/>
          <w:lang w:val="en-US"/>
        </w:rPr>
        <w:t xml:space="preserve">Given the fact </w:t>
      </w:r>
      <w:r w:rsidR="00932555" w:rsidRPr="00315D20">
        <w:rPr>
          <w:rFonts w:ascii="Times New Roman" w:hAnsi="Times New Roman" w:cs="Times New Roman"/>
          <w:sz w:val="24"/>
          <w:szCs w:val="24"/>
          <w:lang w:val="en-US"/>
        </w:rPr>
        <w:t>the direction to leave</w:t>
      </w:r>
      <w:r w:rsidR="00932555">
        <w:rPr>
          <w:rFonts w:ascii="Times New Roman" w:hAnsi="Times New Roman" w:cs="Times New Roman"/>
          <w:sz w:val="24"/>
          <w:szCs w:val="24"/>
          <w:lang w:val="en-US"/>
        </w:rPr>
        <w:t xml:space="preserve"> </w:t>
      </w:r>
      <w:r w:rsidR="00932555" w:rsidRPr="00315D20">
        <w:rPr>
          <w:rFonts w:ascii="Times New Roman" w:hAnsi="Times New Roman" w:cs="Times New Roman"/>
          <w:sz w:val="24"/>
          <w:szCs w:val="24"/>
          <w:lang w:val="en-US"/>
        </w:rPr>
        <w:t>is also a public order power restricting the individual in his or her free movement</w:t>
      </w:r>
      <w:r w:rsidR="00932555">
        <w:rPr>
          <w:rFonts w:ascii="Times New Roman" w:hAnsi="Times New Roman" w:cs="Times New Roman"/>
          <w:sz w:val="24"/>
          <w:szCs w:val="24"/>
          <w:lang w:val="en-US"/>
        </w:rPr>
        <w:t>, it</w:t>
      </w:r>
      <w:r w:rsidR="00F43041" w:rsidRPr="00315D20">
        <w:rPr>
          <w:rFonts w:ascii="Times New Roman" w:hAnsi="Times New Roman" w:cs="Times New Roman"/>
          <w:sz w:val="24"/>
          <w:szCs w:val="24"/>
          <w:lang w:val="en-US"/>
        </w:rPr>
        <w:t xml:space="preserve"> is </w:t>
      </w:r>
      <w:r w:rsidR="00932555">
        <w:rPr>
          <w:rFonts w:ascii="Times New Roman" w:hAnsi="Times New Roman" w:cs="Times New Roman"/>
          <w:sz w:val="24"/>
          <w:szCs w:val="24"/>
          <w:lang w:val="en-US"/>
        </w:rPr>
        <w:t xml:space="preserve">thus </w:t>
      </w:r>
      <w:r w:rsidR="00F43041" w:rsidRPr="00315D20">
        <w:rPr>
          <w:rFonts w:ascii="Times New Roman" w:hAnsi="Times New Roman" w:cs="Times New Roman"/>
          <w:sz w:val="24"/>
          <w:szCs w:val="24"/>
          <w:lang w:val="en-US"/>
        </w:rPr>
        <w:t>not unconceivable that</w:t>
      </w:r>
      <w:r w:rsidR="00932555">
        <w:rPr>
          <w:rFonts w:ascii="Times New Roman" w:hAnsi="Times New Roman" w:cs="Times New Roman"/>
          <w:sz w:val="24"/>
          <w:szCs w:val="24"/>
          <w:lang w:val="en-US"/>
        </w:rPr>
        <w:t xml:space="preserve"> it</w:t>
      </w:r>
      <w:r w:rsidR="00F43041" w:rsidRPr="00315D20">
        <w:rPr>
          <w:rFonts w:ascii="Times New Roman" w:hAnsi="Times New Roman" w:cs="Times New Roman"/>
          <w:sz w:val="24"/>
          <w:szCs w:val="24"/>
          <w:lang w:val="en-US"/>
        </w:rPr>
        <w:t xml:space="preserve"> is to be </w:t>
      </w:r>
      <w:r w:rsidR="00907419" w:rsidRPr="00315D20">
        <w:rPr>
          <w:rFonts w:ascii="Times New Roman" w:hAnsi="Times New Roman" w:cs="Times New Roman"/>
          <w:sz w:val="24"/>
          <w:szCs w:val="24"/>
          <w:lang w:val="en-US"/>
        </w:rPr>
        <w:t>regarded</w:t>
      </w:r>
      <w:r w:rsidRPr="00315D20">
        <w:rPr>
          <w:rFonts w:ascii="Times New Roman" w:hAnsi="Times New Roman" w:cs="Times New Roman"/>
          <w:sz w:val="24"/>
          <w:szCs w:val="24"/>
          <w:lang w:val="en-US"/>
        </w:rPr>
        <w:t xml:space="preserve"> as civil wi</w:t>
      </w:r>
      <w:r w:rsidR="00CC56F9" w:rsidRPr="00315D20">
        <w:rPr>
          <w:rFonts w:ascii="Times New Roman" w:hAnsi="Times New Roman" w:cs="Times New Roman"/>
          <w:sz w:val="24"/>
          <w:szCs w:val="24"/>
          <w:lang w:val="en-US"/>
        </w:rPr>
        <w:t>thin the meaning of Article 6</w:t>
      </w:r>
      <w:r w:rsidR="00863F5E" w:rsidRPr="00315D20">
        <w:rPr>
          <w:rFonts w:ascii="Times New Roman" w:hAnsi="Times New Roman" w:cs="Times New Roman"/>
          <w:sz w:val="24"/>
          <w:szCs w:val="24"/>
          <w:lang w:val="en-US"/>
        </w:rPr>
        <w:t xml:space="preserve">. </w:t>
      </w:r>
      <w:r w:rsidR="0051666C" w:rsidRPr="00315D20">
        <w:rPr>
          <w:rFonts w:ascii="Times New Roman" w:hAnsi="Times New Roman" w:cs="Times New Roman"/>
          <w:sz w:val="24"/>
          <w:szCs w:val="24"/>
          <w:lang w:val="en-US"/>
        </w:rPr>
        <w:t>If</w:t>
      </w:r>
      <w:r w:rsidR="0051666C">
        <w:rPr>
          <w:rFonts w:ascii="Times New Roman" w:hAnsi="Times New Roman" w:cs="Times New Roman"/>
          <w:sz w:val="24"/>
          <w:szCs w:val="24"/>
          <w:lang w:val="en-US"/>
        </w:rPr>
        <w:t xml:space="preserve"> so, the </w:t>
      </w:r>
      <w:r w:rsidR="00863F5E">
        <w:rPr>
          <w:rFonts w:ascii="Times New Roman" w:hAnsi="Times New Roman" w:cs="Times New Roman"/>
          <w:sz w:val="24"/>
          <w:szCs w:val="24"/>
          <w:lang w:val="en-US"/>
        </w:rPr>
        <w:t xml:space="preserve">national authorities </w:t>
      </w:r>
      <w:r>
        <w:rPr>
          <w:rFonts w:ascii="Times New Roman" w:hAnsi="Times New Roman" w:cs="Times New Roman"/>
          <w:sz w:val="24"/>
          <w:szCs w:val="24"/>
          <w:lang w:val="en-US"/>
        </w:rPr>
        <w:t>might be required to apply the criminal ‘means-facts’ test</w:t>
      </w:r>
      <w:r w:rsidR="00CC56F9">
        <w:rPr>
          <w:rFonts w:ascii="Times New Roman" w:hAnsi="Times New Roman" w:cs="Times New Roman"/>
          <w:sz w:val="24"/>
          <w:szCs w:val="24"/>
          <w:lang w:val="en-US"/>
        </w:rPr>
        <w:t xml:space="preserve"> as well</w:t>
      </w:r>
      <w:r>
        <w:rPr>
          <w:rFonts w:ascii="Times New Roman" w:hAnsi="Times New Roman" w:cs="Times New Roman"/>
          <w:sz w:val="24"/>
          <w:szCs w:val="24"/>
          <w:lang w:val="en-US"/>
        </w:rPr>
        <w:t>, since this test is also applicable to civil matters. Therefore, it is of great importance that the national authorities take into account the nature of the direction to leave</w:t>
      </w:r>
      <w:r w:rsidRPr="003607F7">
        <w:rPr>
          <w:rFonts w:ascii="Times New Roman" w:hAnsi="Times New Roman" w:cs="Times New Roman"/>
          <w:sz w:val="24"/>
          <w:szCs w:val="24"/>
          <w:lang w:val="en-US"/>
        </w:rPr>
        <w:t xml:space="preserve">, </w:t>
      </w:r>
      <w:r w:rsidRPr="003607F7">
        <w:rPr>
          <w:rFonts w:ascii="Times New Roman" w:hAnsi="Times New Roman" w:cs="Times New Roman"/>
          <w:color w:val="000000"/>
          <w:sz w:val="24"/>
          <w:szCs w:val="24"/>
          <w:lang w:val="en-CA"/>
        </w:rPr>
        <w:t>in order to appropriately determine the a</w:t>
      </w:r>
      <w:r w:rsidR="00932555">
        <w:rPr>
          <w:rFonts w:ascii="Times New Roman" w:hAnsi="Times New Roman" w:cs="Times New Roman"/>
          <w:color w:val="000000"/>
          <w:sz w:val="24"/>
          <w:szCs w:val="24"/>
          <w:lang w:val="en-CA"/>
        </w:rPr>
        <w:t>pplicable proportionality test.</w:t>
      </w:r>
    </w:p>
    <w:p w14:paraId="44A792F5" w14:textId="77777777" w:rsidR="00907419" w:rsidRDefault="00907419" w:rsidP="00AB5252">
      <w:pPr>
        <w:spacing w:after="0"/>
        <w:jc w:val="both"/>
        <w:rPr>
          <w:rFonts w:ascii="Times New Roman" w:hAnsi="Times New Roman" w:cs="Times New Roman"/>
          <w:color w:val="000000"/>
          <w:sz w:val="24"/>
          <w:szCs w:val="24"/>
          <w:lang w:val="en-CA"/>
        </w:rPr>
      </w:pPr>
    </w:p>
    <w:p w14:paraId="09A6CC5D" w14:textId="0A2DD5E3" w:rsidR="00AB5252" w:rsidRDefault="00907419" w:rsidP="00AB5252">
      <w:pPr>
        <w:spacing w:after="0"/>
        <w:jc w:val="both"/>
        <w:rPr>
          <w:rFonts w:ascii="Times New Roman" w:hAnsi="Times New Roman" w:cs="Times New Roman"/>
          <w:sz w:val="24"/>
          <w:szCs w:val="24"/>
          <w:lang w:val="en-US"/>
        </w:rPr>
      </w:pPr>
      <w:r>
        <w:rPr>
          <w:rFonts w:ascii="Times New Roman" w:hAnsi="Times New Roman" w:cs="Times New Roman"/>
          <w:sz w:val="24"/>
          <w:szCs w:val="24"/>
          <w:lang w:val="en-CA"/>
        </w:rPr>
        <w:t xml:space="preserve">However, </w:t>
      </w:r>
      <w:r w:rsidR="000320E0">
        <w:rPr>
          <w:rFonts w:ascii="Times New Roman" w:hAnsi="Times New Roman" w:cs="Times New Roman"/>
          <w:sz w:val="24"/>
          <w:szCs w:val="24"/>
          <w:lang w:val="en-CA"/>
        </w:rPr>
        <w:t>as to the direction to leave</w:t>
      </w:r>
      <w:r>
        <w:rPr>
          <w:rFonts w:ascii="Times New Roman" w:hAnsi="Times New Roman" w:cs="Times New Roman"/>
          <w:sz w:val="24"/>
          <w:szCs w:val="24"/>
          <w:lang w:val="en-CA"/>
        </w:rPr>
        <w:t xml:space="preserve">, it does not suffice that the </w:t>
      </w:r>
      <w:r w:rsidR="0051666C">
        <w:rPr>
          <w:rFonts w:ascii="Times New Roman" w:hAnsi="Times New Roman" w:cs="Times New Roman"/>
          <w:sz w:val="24"/>
          <w:szCs w:val="24"/>
          <w:lang w:val="en-CA"/>
        </w:rPr>
        <w:t xml:space="preserve">national authorities </w:t>
      </w:r>
      <w:r>
        <w:rPr>
          <w:rFonts w:ascii="Times New Roman" w:hAnsi="Times New Roman" w:cs="Times New Roman"/>
          <w:sz w:val="24"/>
          <w:szCs w:val="24"/>
          <w:lang w:val="en-CA"/>
        </w:rPr>
        <w:t>take into account the purpose of th</w:t>
      </w:r>
      <w:r w:rsidR="000320E0">
        <w:rPr>
          <w:rFonts w:ascii="Times New Roman" w:hAnsi="Times New Roman" w:cs="Times New Roman"/>
          <w:sz w:val="24"/>
          <w:szCs w:val="24"/>
          <w:lang w:val="en-CA"/>
        </w:rPr>
        <w:t>at direction</w:t>
      </w:r>
      <w:r>
        <w:rPr>
          <w:rFonts w:ascii="Times New Roman" w:hAnsi="Times New Roman" w:cs="Times New Roman"/>
          <w:sz w:val="24"/>
          <w:szCs w:val="24"/>
          <w:lang w:val="en-CA"/>
        </w:rPr>
        <w:t xml:space="preserve"> in order to determine </w:t>
      </w:r>
      <w:r w:rsidR="000320E0">
        <w:rPr>
          <w:rFonts w:ascii="Times New Roman" w:hAnsi="Times New Roman" w:cs="Times New Roman"/>
          <w:sz w:val="24"/>
          <w:szCs w:val="24"/>
          <w:lang w:val="en-CA"/>
        </w:rPr>
        <w:t>whether or not the criminal ‘means-facts’ is to be applied. After all, and regardless of its nature, the direction to leave is a freedom-restricting measure, thus interfering with the individual’s right to free movement as guaranteed via the Convention rights. To be compliant with these Convention rights, the direction to leave must meet the established ‘aims-means-consequences’ test, as discussed above. As a result, if the direction is criminal or civil within the meaning of Article 6 ECHR, the national authorities</w:t>
      </w:r>
      <w:r w:rsidR="007F673B" w:rsidRPr="00907419">
        <w:rPr>
          <w:rFonts w:ascii="Times New Roman" w:hAnsi="Times New Roman" w:cs="Times New Roman"/>
          <w:sz w:val="24"/>
          <w:szCs w:val="24"/>
          <w:lang w:val="en-CA"/>
        </w:rPr>
        <w:t xml:space="preserve"> might have to </w:t>
      </w:r>
      <w:r w:rsidR="000320E0">
        <w:rPr>
          <w:rFonts w:ascii="Times New Roman" w:hAnsi="Times New Roman" w:cs="Times New Roman"/>
          <w:color w:val="000000"/>
          <w:sz w:val="24"/>
          <w:szCs w:val="24"/>
          <w:lang w:val="en-CA"/>
        </w:rPr>
        <w:t>take into account</w:t>
      </w:r>
      <w:r w:rsidR="007F673B">
        <w:rPr>
          <w:rFonts w:ascii="Times New Roman" w:hAnsi="Times New Roman" w:cs="Times New Roman"/>
          <w:color w:val="000000"/>
          <w:sz w:val="24"/>
          <w:szCs w:val="24"/>
          <w:lang w:val="en-CA"/>
        </w:rPr>
        <w:t xml:space="preserve"> </w:t>
      </w:r>
      <w:r w:rsidR="001B06AE">
        <w:rPr>
          <w:rFonts w:ascii="Times New Roman" w:hAnsi="Times New Roman" w:cs="Times New Roman"/>
          <w:color w:val="000000"/>
          <w:sz w:val="24"/>
          <w:szCs w:val="24"/>
          <w:lang w:val="en-CA"/>
        </w:rPr>
        <w:t xml:space="preserve">multiple </w:t>
      </w:r>
      <w:r w:rsidR="007F673B">
        <w:rPr>
          <w:rFonts w:ascii="Times New Roman" w:hAnsi="Times New Roman" w:cs="Times New Roman"/>
          <w:color w:val="000000"/>
          <w:sz w:val="24"/>
          <w:szCs w:val="24"/>
          <w:lang w:val="en-CA"/>
        </w:rPr>
        <w:t>proportionality tests at the same time</w:t>
      </w:r>
      <w:r w:rsidR="000320E0">
        <w:rPr>
          <w:rFonts w:ascii="Times New Roman" w:hAnsi="Times New Roman" w:cs="Times New Roman"/>
          <w:color w:val="000000"/>
          <w:sz w:val="24"/>
          <w:szCs w:val="24"/>
          <w:lang w:val="en-CA"/>
        </w:rPr>
        <w:t xml:space="preserve">, namely </w:t>
      </w:r>
      <w:r w:rsidR="00CA470E">
        <w:rPr>
          <w:rFonts w:ascii="Times New Roman" w:hAnsi="Times New Roman" w:cs="Times New Roman"/>
          <w:color w:val="000000"/>
          <w:sz w:val="24"/>
          <w:szCs w:val="24"/>
          <w:lang w:val="en-CA"/>
        </w:rPr>
        <w:t>the</w:t>
      </w:r>
      <w:r w:rsidR="000320E0">
        <w:rPr>
          <w:rFonts w:ascii="Times New Roman" w:hAnsi="Times New Roman" w:cs="Times New Roman"/>
          <w:color w:val="000000"/>
          <w:sz w:val="24"/>
          <w:szCs w:val="24"/>
          <w:lang w:val="en-CA"/>
        </w:rPr>
        <w:t xml:space="preserve"> established</w:t>
      </w:r>
      <w:r w:rsidR="00CA470E">
        <w:rPr>
          <w:rFonts w:ascii="Times New Roman" w:hAnsi="Times New Roman" w:cs="Times New Roman"/>
          <w:color w:val="000000"/>
          <w:sz w:val="24"/>
          <w:szCs w:val="24"/>
          <w:lang w:val="en-CA"/>
        </w:rPr>
        <w:t xml:space="preserve"> ‘aims-means-consequences’ test</w:t>
      </w:r>
      <w:r w:rsidR="000320E0">
        <w:rPr>
          <w:rFonts w:ascii="Times New Roman" w:hAnsi="Times New Roman" w:cs="Times New Roman"/>
          <w:color w:val="000000"/>
          <w:sz w:val="24"/>
          <w:szCs w:val="24"/>
          <w:lang w:val="en-CA"/>
        </w:rPr>
        <w:t xml:space="preserve"> as well as the criminal ‘means-facts’</w:t>
      </w:r>
      <w:r w:rsidR="001B06AE">
        <w:rPr>
          <w:rFonts w:ascii="Times New Roman" w:hAnsi="Times New Roman" w:cs="Times New Roman"/>
          <w:color w:val="000000"/>
          <w:sz w:val="24"/>
          <w:szCs w:val="24"/>
          <w:lang w:val="en-CA"/>
        </w:rPr>
        <w:t xml:space="preserve"> test</w:t>
      </w:r>
      <w:r w:rsidR="00CA470E">
        <w:rPr>
          <w:rFonts w:ascii="Times New Roman" w:hAnsi="Times New Roman" w:cs="Times New Roman"/>
          <w:color w:val="000000"/>
          <w:sz w:val="24"/>
          <w:szCs w:val="24"/>
          <w:lang w:val="en-CA"/>
        </w:rPr>
        <w:t>.</w:t>
      </w:r>
    </w:p>
    <w:p w14:paraId="48D611A4" w14:textId="77777777" w:rsidR="00344340" w:rsidRPr="000320E0" w:rsidRDefault="00344340" w:rsidP="000320E0">
      <w:pPr>
        <w:spacing w:before="240"/>
        <w:jc w:val="both"/>
        <w:rPr>
          <w:rFonts w:ascii="Times New Roman" w:hAnsi="Times New Roman" w:cs="Times New Roman"/>
          <w:sz w:val="24"/>
          <w:szCs w:val="24"/>
          <w:lang w:val="en-US"/>
        </w:rPr>
      </w:pPr>
    </w:p>
    <w:p w14:paraId="6F5AD261" w14:textId="77777777" w:rsidR="00F72E3A" w:rsidRDefault="00F72E3A">
      <w:pPr>
        <w:rPr>
          <w:rFonts w:asciiTheme="majorHAnsi" w:eastAsiaTheme="majorEastAsia" w:hAnsiTheme="majorHAnsi" w:cstheme="majorBidi"/>
          <w:b/>
          <w:bCs/>
          <w:color w:val="365F91" w:themeColor="accent1" w:themeShade="BF"/>
          <w:sz w:val="28"/>
          <w:szCs w:val="28"/>
          <w:lang w:val="en-CA"/>
        </w:rPr>
      </w:pPr>
      <w:bookmarkStart w:id="15" w:name="_Toc453965903"/>
      <w:r>
        <w:rPr>
          <w:lang w:val="en-CA"/>
        </w:rPr>
        <w:br w:type="page"/>
      </w:r>
    </w:p>
    <w:p w14:paraId="36F5907A" w14:textId="5E2FEB18" w:rsidR="00A7505B" w:rsidRPr="00730BDA" w:rsidRDefault="005F64ED" w:rsidP="00344340">
      <w:pPr>
        <w:pStyle w:val="Nagwek1"/>
        <w:spacing w:before="0"/>
        <w:rPr>
          <w:lang w:val="en-CA"/>
        </w:rPr>
      </w:pPr>
      <w:bookmarkStart w:id="16" w:name="_Toc462591613"/>
      <w:r w:rsidRPr="00730BDA">
        <w:rPr>
          <w:lang w:val="en-CA"/>
        </w:rPr>
        <w:lastRenderedPageBreak/>
        <w:t>CONCLUSION</w:t>
      </w:r>
      <w:bookmarkEnd w:id="15"/>
      <w:bookmarkEnd w:id="16"/>
    </w:p>
    <w:p w14:paraId="7D7CF102" w14:textId="77777777" w:rsidR="00AF63D8" w:rsidRPr="00730BDA" w:rsidRDefault="00AF63D8" w:rsidP="00361FB9">
      <w:pPr>
        <w:jc w:val="both"/>
        <w:rPr>
          <w:rFonts w:ascii="Times New Roman" w:hAnsi="Times New Roman" w:cs="Times New Roman"/>
          <w:sz w:val="24"/>
          <w:szCs w:val="24"/>
          <w:lang w:val="en-CA"/>
        </w:rPr>
      </w:pPr>
    </w:p>
    <w:p w14:paraId="3492A279" w14:textId="07FD8C83" w:rsidR="003045EB" w:rsidRDefault="007246E5" w:rsidP="00361FB9">
      <w:pPr>
        <w:jc w:val="both"/>
        <w:rPr>
          <w:rFonts w:ascii="Times New Roman" w:hAnsi="Times New Roman" w:cs="Times New Roman"/>
          <w:sz w:val="24"/>
          <w:szCs w:val="24"/>
          <w:lang w:val="en-CA"/>
        </w:rPr>
      </w:pPr>
      <w:r w:rsidRPr="007E16CF">
        <w:rPr>
          <w:rFonts w:ascii="Times New Roman" w:hAnsi="Times New Roman" w:cs="Times New Roman"/>
          <w:sz w:val="24"/>
          <w:szCs w:val="24"/>
          <w:lang w:val="en-US"/>
        </w:rPr>
        <w:t xml:space="preserve">This </w:t>
      </w:r>
      <w:r w:rsidR="007E16CF">
        <w:rPr>
          <w:rFonts w:ascii="Times New Roman" w:hAnsi="Times New Roman" w:cs="Times New Roman"/>
          <w:sz w:val="24"/>
          <w:szCs w:val="24"/>
          <w:lang w:val="en-US"/>
        </w:rPr>
        <w:t>contribution</w:t>
      </w:r>
      <w:r>
        <w:rPr>
          <w:rFonts w:ascii="Times New Roman" w:hAnsi="Times New Roman" w:cs="Times New Roman"/>
          <w:sz w:val="24"/>
          <w:szCs w:val="24"/>
          <w:lang w:val="en-CA"/>
        </w:rPr>
        <w:t xml:space="preserve"> aimed to </w:t>
      </w:r>
      <w:r w:rsidR="007E16CF">
        <w:rPr>
          <w:rFonts w:ascii="Times New Roman" w:hAnsi="Times New Roman" w:cs="Times New Roman"/>
          <w:sz w:val="24"/>
          <w:szCs w:val="24"/>
          <w:lang w:val="en-CA"/>
        </w:rPr>
        <w:t xml:space="preserve">analyse the criteria that have to be taken into account at the European level and the national level, in order to assess the proportionality of </w:t>
      </w:r>
      <w:r w:rsidR="00DC6BDF">
        <w:rPr>
          <w:rFonts w:ascii="Times New Roman" w:hAnsi="Times New Roman" w:cs="Times New Roman"/>
          <w:sz w:val="24"/>
          <w:szCs w:val="24"/>
          <w:lang w:val="en-CA"/>
        </w:rPr>
        <w:t xml:space="preserve">freedom-restricting </w:t>
      </w:r>
      <w:r w:rsidR="00B04A36">
        <w:rPr>
          <w:rFonts w:ascii="Times New Roman" w:hAnsi="Times New Roman" w:cs="Times New Roman"/>
          <w:sz w:val="24"/>
          <w:szCs w:val="24"/>
          <w:lang w:val="en-CA"/>
        </w:rPr>
        <w:t>public order</w:t>
      </w:r>
      <w:r w:rsidR="00CC56F9">
        <w:rPr>
          <w:rFonts w:ascii="Times New Roman" w:hAnsi="Times New Roman" w:cs="Times New Roman"/>
          <w:sz w:val="24"/>
          <w:szCs w:val="24"/>
          <w:lang w:val="en-CA"/>
        </w:rPr>
        <w:t xml:space="preserve"> powers</w:t>
      </w:r>
      <w:r w:rsidR="00861669">
        <w:rPr>
          <w:rFonts w:ascii="Times New Roman" w:hAnsi="Times New Roman" w:cs="Times New Roman"/>
          <w:sz w:val="24"/>
          <w:szCs w:val="24"/>
          <w:lang w:val="en-CA"/>
        </w:rPr>
        <w:t>, such</w:t>
      </w:r>
      <w:r w:rsidR="00420923">
        <w:rPr>
          <w:rFonts w:ascii="Times New Roman" w:hAnsi="Times New Roman" w:cs="Times New Roman"/>
          <w:sz w:val="24"/>
          <w:szCs w:val="24"/>
          <w:lang w:val="en-CA"/>
        </w:rPr>
        <w:t xml:space="preserve"> as</w:t>
      </w:r>
      <w:r w:rsidR="00861669">
        <w:rPr>
          <w:rFonts w:ascii="Times New Roman" w:hAnsi="Times New Roman" w:cs="Times New Roman"/>
          <w:sz w:val="24"/>
          <w:szCs w:val="24"/>
          <w:lang w:val="en-CA"/>
        </w:rPr>
        <w:t xml:space="preserve"> </w:t>
      </w:r>
      <w:r w:rsidR="00A71D0B">
        <w:rPr>
          <w:rFonts w:ascii="Times New Roman" w:hAnsi="Times New Roman" w:cs="Times New Roman"/>
          <w:sz w:val="24"/>
          <w:szCs w:val="24"/>
          <w:lang w:val="en-CA"/>
        </w:rPr>
        <w:t>area-based restrictions</w:t>
      </w:r>
      <w:r w:rsidR="00420923">
        <w:rPr>
          <w:rFonts w:ascii="Times New Roman" w:hAnsi="Times New Roman" w:cs="Times New Roman"/>
          <w:sz w:val="24"/>
          <w:szCs w:val="24"/>
          <w:lang w:val="en-CA"/>
        </w:rPr>
        <w:t xml:space="preserve">. </w:t>
      </w:r>
      <w:r w:rsidR="00125B24">
        <w:rPr>
          <w:rFonts w:ascii="Times New Roman" w:hAnsi="Times New Roman" w:cs="Times New Roman"/>
          <w:sz w:val="24"/>
          <w:szCs w:val="24"/>
          <w:lang w:val="en-CA"/>
        </w:rPr>
        <w:t xml:space="preserve">It can be derived from the limited existing Strasbourg Court’s case law </w:t>
      </w:r>
      <w:r w:rsidR="00446B8A">
        <w:rPr>
          <w:rFonts w:ascii="Times New Roman" w:hAnsi="Times New Roman" w:cs="Times New Roman"/>
          <w:sz w:val="24"/>
          <w:szCs w:val="24"/>
          <w:lang w:val="en-CA"/>
        </w:rPr>
        <w:t xml:space="preserve">with regard to freedom-restricting measures </w:t>
      </w:r>
      <w:r w:rsidR="00125B24">
        <w:rPr>
          <w:rFonts w:ascii="Times New Roman" w:hAnsi="Times New Roman" w:cs="Times New Roman"/>
          <w:sz w:val="24"/>
          <w:szCs w:val="24"/>
          <w:lang w:val="en-CA"/>
        </w:rPr>
        <w:t xml:space="preserve">that </w:t>
      </w:r>
      <w:r w:rsidR="001B7BAC">
        <w:rPr>
          <w:rFonts w:ascii="Times New Roman" w:hAnsi="Times New Roman" w:cs="Times New Roman"/>
          <w:sz w:val="24"/>
          <w:szCs w:val="24"/>
          <w:lang w:val="en-CA"/>
        </w:rPr>
        <w:t>the applicable criteria remain</w:t>
      </w:r>
      <w:r w:rsidR="00125B24">
        <w:rPr>
          <w:rFonts w:ascii="Times New Roman" w:hAnsi="Times New Roman" w:cs="Times New Roman"/>
          <w:sz w:val="24"/>
          <w:szCs w:val="24"/>
          <w:lang w:val="en-CA"/>
        </w:rPr>
        <w:t xml:space="preserve"> unclear. </w:t>
      </w:r>
      <w:r w:rsidR="009A07D3">
        <w:rPr>
          <w:rFonts w:ascii="Times New Roman" w:hAnsi="Times New Roman" w:cs="Times New Roman"/>
          <w:sz w:val="24"/>
          <w:szCs w:val="24"/>
          <w:lang w:val="en-CA"/>
        </w:rPr>
        <w:t>To be compliant with the right to freedom of movement</w:t>
      </w:r>
      <w:r w:rsidR="003C33EA">
        <w:rPr>
          <w:rFonts w:ascii="Times New Roman" w:hAnsi="Times New Roman" w:cs="Times New Roman"/>
          <w:sz w:val="24"/>
          <w:szCs w:val="24"/>
          <w:lang w:val="en-CA"/>
        </w:rPr>
        <w:t xml:space="preserve"> </w:t>
      </w:r>
      <w:r w:rsidR="003C33EA" w:rsidRPr="0082081D">
        <w:rPr>
          <w:rFonts w:ascii="Times New Roman" w:hAnsi="Times New Roman" w:cs="Times New Roman"/>
          <w:sz w:val="24"/>
          <w:szCs w:val="24"/>
          <w:lang w:val="en-CA"/>
        </w:rPr>
        <w:t>as</w:t>
      </w:r>
      <w:r w:rsidR="003C33EA">
        <w:rPr>
          <w:rFonts w:ascii="Times New Roman" w:hAnsi="Times New Roman" w:cs="Times New Roman"/>
          <w:sz w:val="24"/>
          <w:szCs w:val="24"/>
          <w:lang w:val="en-CA"/>
        </w:rPr>
        <w:t xml:space="preserve"> guaranteed in Article 2 FAP or via other fundamental rights</w:t>
      </w:r>
      <w:r w:rsidR="009A07D3">
        <w:rPr>
          <w:rFonts w:ascii="Times New Roman" w:hAnsi="Times New Roman" w:cs="Times New Roman"/>
          <w:sz w:val="24"/>
          <w:szCs w:val="24"/>
          <w:lang w:val="en-CA"/>
        </w:rPr>
        <w:t>, a</w:t>
      </w:r>
      <w:r w:rsidR="00050943">
        <w:rPr>
          <w:rFonts w:ascii="Times New Roman" w:hAnsi="Times New Roman" w:cs="Times New Roman"/>
          <w:sz w:val="24"/>
          <w:szCs w:val="24"/>
          <w:lang w:val="en-CA"/>
        </w:rPr>
        <w:t>rea-based restriction</w:t>
      </w:r>
      <w:r w:rsidR="009A07D3">
        <w:rPr>
          <w:rFonts w:ascii="Times New Roman" w:hAnsi="Times New Roman" w:cs="Times New Roman"/>
          <w:sz w:val="24"/>
          <w:szCs w:val="24"/>
          <w:lang w:val="en-CA"/>
        </w:rPr>
        <w:t>s</w:t>
      </w:r>
      <w:r w:rsidR="0051666C">
        <w:rPr>
          <w:rFonts w:ascii="Times New Roman" w:hAnsi="Times New Roman" w:cs="Times New Roman"/>
          <w:sz w:val="24"/>
          <w:szCs w:val="24"/>
          <w:lang w:val="en-CA"/>
        </w:rPr>
        <w:t xml:space="preserve"> must </w:t>
      </w:r>
      <w:r w:rsidR="007E16CF" w:rsidRPr="00420923">
        <w:rPr>
          <w:rFonts w:ascii="Times New Roman" w:hAnsi="Times New Roman" w:cs="Times New Roman"/>
          <w:sz w:val="24"/>
          <w:szCs w:val="24"/>
          <w:lang w:val="en-CA"/>
        </w:rPr>
        <w:t>stand in fair proportion to the public order aim pursued and the consequences for the individual’s free</w:t>
      </w:r>
      <w:r w:rsidR="00EB58A1">
        <w:rPr>
          <w:rFonts w:ascii="Times New Roman" w:hAnsi="Times New Roman" w:cs="Times New Roman"/>
          <w:sz w:val="24"/>
          <w:szCs w:val="24"/>
          <w:lang w:val="en-CA"/>
        </w:rPr>
        <w:t xml:space="preserve"> movement</w:t>
      </w:r>
      <w:r w:rsidR="009F761F" w:rsidRPr="00420923">
        <w:rPr>
          <w:rFonts w:ascii="Times New Roman" w:hAnsi="Times New Roman" w:cs="Times New Roman"/>
          <w:sz w:val="24"/>
          <w:szCs w:val="24"/>
          <w:lang w:val="en-CA"/>
        </w:rPr>
        <w:t xml:space="preserve"> (the</w:t>
      </w:r>
      <w:r w:rsidR="00165676" w:rsidRPr="00420923">
        <w:rPr>
          <w:rFonts w:ascii="Times New Roman" w:hAnsi="Times New Roman" w:cs="Times New Roman"/>
          <w:sz w:val="24"/>
          <w:szCs w:val="24"/>
          <w:lang w:val="en-CA"/>
        </w:rPr>
        <w:t xml:space="preserve"> ‘aims-means-consequences’ test</w:t>
      </w:r>
      <w:r w:rsidR="009F761F" w:rsidRPr="00420923">
        <w:rPr>
          <w:rFonts w:ascii="Times New Roman" w:hAnsi="Times New Roman" w:cs="Times New Roman"/>
          <w:sz w:val="24"/>
          <w:szCs w:val="24"/>
          <w:lang w:val="en-CA"/>
        </w:rPr>
        <w:t>)</w:t>
      </w:r>
      <w:r w:rsidR="00165676" w:rsidRPr="00420923">
        <w:rPr>
          <w:rFonts w:ascii="Times New Roman" w:hAnsi="Times New Roman" w:cs="Times New Roman"/>
          <w:sz w:val="24"/>
          <w:szCs w:val="24"/>
          <w:lang w:val="en-CA"/>
        </w:rPr>
        <w:t xml:space="preserve">. </w:t>
      </w:r>
      <w:r w:rsidR="00125B24">
        <w:rPr>
          <w:rFonts w:ascii="Times New Roman" w:hAnsi="Times New Roman" w:cs="Times New Roman"/>
          <w:sz w:val="24"/>
          <w:szCs w:val="24"/>
          <w:lang w:val="en-CA"/>
        </w:rPr>
        <w:t>However</w:t>
      </w:r>
      <w:r w:rsidR="009F761F" w:rsidRPr="00420923">
        <w:rPr>
          <w:rFonts w:ascii="Times New Roman" w:hAnsi="Times New Roman" w:cs="Times New Roman"/>
          <w:sz w:val="24"/>
          <w:szCs w:val="24"/>
          <w:lang w:val="en-CA"/>
        </w:rPr>
        <w:t xml:space="preserve">, </w:t>
      </w:r>
      <w:r w:rsidR="009F761F">
        <w:rPr>
          <w:rFonts w:ascii="Times New Roman" w:hAnsi="Times New Roman" w:cs="Times New Roman"/>
          <w:sz w:val="24"/>
          <w:szCs w:val="24"/>
          <w:lang w:val="en-CA"/>
        </w:rPr>
        <w:t>if the area-</w:t>
      </w:r>
      <w:r w:rsidR="009F761F" w:rsidRPr="000320E0">
        <w:rPr>
          <w:rFonts w:ascii="Times New Roman" w:hAnsi="Times New Roman" w:cs="Times New Roman"/>
          <w:sz w:val="24"/>
          <w:szCs w:val="24"/>
          <w:lang w:val="en-CA"/>
        </w:rPr>
        <w:t>based restriction is to be regarded as c</w:t>
      </w:r>
      <w:r w:rsidR="000320E0" w:rsidRPr="000320E0">
        <w:rPr>
          <w:rFonts w:ascii="Times New Roman" w:hAnsi="Times New Roman" w:cs="Times New Roman"/>
          <w:sz w:val="24"/>
          <w:szCs w:val="24"/>
          <w:lang w:val="en-CA"/>
        </w:rPr>
        <w:t xml:space="preserve">riminal </w:t>
      </w:r>
      <w:r w:rsidR="00754EC2">
        <w:rPr>
          <w:rFonts w:ascii="Times New Roman" w:hAnsi="Times New Roman" w:cs="Times New Roman"/>
          <w:sz w:val="24"/>
          <w:szCs w:val="24"/>
          <w:lang w:val="en-CA"/>
        </w:rPr>
        <w:t xml:space="preserve">or civil </w:t>
      </w:r>
      <w:r w:rsidR="000320E0" w:rsidRPr="000320E0">
        <w:rPr>
          <w:rFonts w:ascii="Times New Roman" w:hAnsi="Times New Roman" w:cs="Times New Roman"/>
          <w:sz w:val="24"/>
          <w:szCs w:val="24"/>
          <w:lang w:val="en-CA"/>
        </w:rPr>
        <w:t>within</w:t>
      </w:r>
      <w:r w:rsidR="009F761F" w:rsidRPr="000320E0">
        <w:rPr>
          <w:rFonts w:ascii="Times New Roman" w:hAnsi="Times New Roman" w:cs="Times New Roman"/>
          <w:sz w:val="24"/>
          <w:szCs w:val="24"/>
          <w:lang w:val="en-CA"/>
        </w:rPr>
        <w:t xml:space="preserve"> the meaning of Article 6 ECHR</w:t>
      </w:r>
      <w:r w:rsidR="00165676" w:rsidRPr="000320E0">
        <w:rPr>
          <w:rFonts w:ascii="Times New Roman" w:hAnsi="Times New Roman" w:cs="Times New Roman"/>
          <w:sz w:val="24"/>
          <w:szCs w:val="24"/>
          <w:lang w:val="en-CA"/>
        </w:rPr>
        <w:t>, it</w:t>
      </w:r>
      <w:r w:rsidR="00165676">
        <w:rPr>
          <w:rFonts w:ascii="Times New Roman" w:hAnsi="Times New Roman" w:cs="Times New Roman"/>
          <w:sz w:val="24"/>
          <w:szCs w:val="24"/>
          <w:lang w:val="en-CA"/>
        </w:rPr>
        <w:t xml:space="preserve"> appears </w:t>
      </w:r>
      <w:r w:rsidR="00103202">
        <w:rPr>
          <w:rFonts w:ascii="Times New Roman" w:hAnsi="Times New Roman" w:cs="Times New Roman"/>
          <w:sz w:val="24"/>
          <w:szCs w:val="24"/>
          <w:lang w:val="en-CA"/>
        </w:rPr>
        <w:t xml:space="preserve">at least implicitly </w:t>
      </w:r>
      <w:r w:rsidR="00165676">
        <w:rPr>
          <w:rFonts w:ascii="Times New Roman" w:hAnsi="Times New Roman" w:cs="Times New Roman"/>
          <w:sz w:val="24"/>
          <w:szCs w:val="24"/>
          <w:lang w:val="en-CA"/>
        </w:rPr>
        <w:t>from the Strasbourg Court’s case law</w:t>
      </w:r>
      <w:r w:rsidR="00861669">
        <w:rPr>
          <w:rFonts w:ascii="Times New Roman" w:hAnsi="Times New Roman" w:cs="Times New Roman"/>
          <w:sz w:val="24"/>
          <w:szCs w:val="24"/>
          <w:lang w:val="en-CA"/>
        </w:rPr>
        <w:t xml:space="preserve"> </w:t>
      </w:r>
      <w:r w:rsidR="009F761F">
        <w:rPr>
          <w:rFonts w:ascii="Times New Roman" w:hAnsi="Times New Roman" w:cs="Times New Roman"/>
          <w:sz w:val="24"/>
          <w:szCs w:val="24"/>
          <w:lang w:val="en-CA"/>
        </w:rPr>
        <w:t>that it must also stand in fair proportion to the individual’s misbehaviour, i.e. the facts (the ‘means-facts’ test).</w:t>
      </w:r>
      <w:r w:rsidR="00754EC2">
        <w:rPr>
          <w:rFonts w:ascii="Times New Roman" w:hAnsi="Times New Roman" w:cs="Times New Roman"/>
          <w:sz w:val="24"/>
          <w:szCs w:val="24"/>
          <w:lang w:val="en-CA"/>
        </w:rPr>
        <w:t xml:space="preserve"> </w:t>
      </w:r>
      <w:r w:rsidR="00125B24">
        <w:rPr>
          <w:rFonts w:ascii="Times New Roman" w:hAnsi="Times New Roman" w:cs="Times New Roman"/>
          <w:sz w:val="24"/>
          <w:szCs w:val="24"/>
          <w:lang w:val="en-CA"/>
        </w:rPr>
        <w:t xml:space="preserve">Nevertheless, </w:t>
      </w:r>
      <w:r w:rsidR="00125B24" w:rsidRPr="00822181">
        <w:rPr>
          <w:rFonts w:ascii="Times New Roman" w:hAnsi="Times New Roman" w:cs="Times New Roman"/>
          <w:color w:val="000000"/>
          <w:sz w:val="24"/>
          <w:szCs w:val="24"/>
          <w:lang w:val="en-US"/>
        </w:rPr>
        <w:t xml:space="preserve">the </w:t>
      </w:r>
      <w:r w:rsidR="00125B24">
        <w:rPr>
          <w:rFonts w:ascii="Times New Roman" w:hAnsi="Times New Roman" w:cs="Times New Roman"/>
          <w:color w:val="000000"/>
          <w:sz w:val="24"/>
          <w:szCs w:val="24"/>
          <w:lang w:val="en-US"/>
        </w:rPr>
        <w:t xml:space="preserve">Strasbourg Court’s case law </w:t>
      </w:r>
      <w:r w:rsidR="001B06AE">
        <w:rPr>
          <w:rFonts w:ascii="Times New Roman" w:hAnsi="Times New Roman" w:cs="Times New Roman"/>
          <w:color w:val="000000"/>
          <w:sz w:val="24"/>
          <w:szCs w:val="24"/>
          <w:lang w:val="en-US"/>
        </w:rPr>
        <w:t>is</w:t>
      </w:r>
      <w:r w:rsidR="00125B24" w:rsidRPr="00822181">
        <w:rPr>
          <w:rFonts w:ascii="Times New Roman" w:hAnsi="Times New Roman" w:cs="Times New Roman"/>
          <w:color w:val="000000"/>
          <w:sz w:val="24"/>
          <w:szCs w:val="24"/>
          <w:lang w:val="en-US"/>
        </w:rPr>
        <w:t xml:space="preserve"> still </w:t>
      </w:r>
      <w:r w:rsidR="001B7BAC">
        <w:rPr>
          <w:rFonts w:ascii="Times New Roman" w:hAnsi="Times New Roman" w:cs="Times New Roman"/>
          <w:color w:val="000000"/>
          <w:sz w:val="24"/>
          <w:szCs w:val="24"/>
          <w:lang w:val="en-US"/>
        </w:rPr>
        <w:t>not explicit</w:t>
      </w:r>
      <w:r w:rsidR="00125B24" w:rsidRPr="00921371">
        <w:rPr>
          <w:rFonts w:ascii="Times New Roman" w:hAnsi="Times New Roman" w:cs="Times New Roman"/>
          <w:color w:val="000000"/>
          <w:sz w:val="24"/>
          <w:szCs w:val="24"/>
          <w:lang w:val="en-US"/>
        </w:rPr>
        <w:t xml:space="preserve"> on this </w:t>
      </w:r>
      <w:r w:rsidR="00125B24" w:rsidRPr="00125B24">
        <w:rPr>
          <w:rFonts w:ascii="Times New Roman" w:hAnsi="Times New Roman" w:cs="Times New Roman"/>
          <w:color w:val="000000"/>
          <w:sz w:val="24"/>
          <w:szCs w:val="24"/>
          <w:lang w:val="en-US"/>
        </w:rPr>
        <w:t>point</w:t>
      </w:r>
      <w:r w:rsidR="00125B24">
        <w:rPr>
          <w:rFonts w:ascii="Times New Roman" w:hAnsi="Times New Roman" w:cs="Times New Roman"/>
          <w:color w:val="000000"/>
          <w:sz w:val="24"/>
          <w:szCs w:val="24"/>
          <w:lang w:val="en-US"/>
        </w:rPr>
        <w:t>. T</w:t>
      </w:r>
      <w:r w:rsidR="00125B24" w:rsidRPr="00125B24">
        <w:rPr>
          <w:rFonts w:ascii="Times New Roman" w:hAnsi="Times New Roman" w:cs="Times New Roman"/>
          <w:sz w:val="24"/>
          <w:szCs w:val="24"/>
          <w:lang w:val="en-CA"/>
        </w:rPr>
        <w:t xml:space="preserve">his </w:t>
      </w:r>
      <w:r w:rsidR="003045EB" w:rsidRPr="00125B24">
        <w:rPr>
          <w:rFonts w:ascii="Times New Roman" w:hAnsi="Times New Roman" w:cs="Times New Roman"/>
          <w:sz w:val="24"/>
          <w:szCs w:val="24"/>
          <w:lang w:val="en-CA"/>
        </w:rPr>
        <w:t xml:space="preserve">contribution is </w:t>
      </w:r>
      <w:r w:rsidR="00125B24">
        <w:rPr>
          <w:rFonts w:ascii="Times New Roman" w:hAnsi="Times New Roman" w:cs="Times New Roman"/>
          <w:sz w:val="24"/>
          <w:szCs w:val="24"/>
          <w:lang w:val="en-CA"/>
        </w:rPr>
        <w:t xml:space="preserve">thus </w:t>
      </w:r>
      <w:r w:rsidR="003045EB" w:rsidRPr="00125B24">
        <w:rPr>
          <w:rFonts w:ascii="Times New Roman" w:hAnsi="Times New Roman" w:cs="Times New Roman"/>
          <w:sz w:val="24"/>
          <w:szCs w:val="24"/>
          <w:lang w:val="en-CA"/>
        </w:rPr>
        <w:t xml:space="preserve">primarily a call for clarity in the </w:t>
      </w:r>
      <w:r w:rsidR="004D1651" w:rsidRPr="00125B24">
        <w:rPr>
          <w:rFonts w:ascii="Times New Roman" w:hAnsi="Times New Roman" w:cs="Times New Roman"/>
          <w:sz w:val="24"/>
          <w:szCs w:val="24"/>
          <w:lang w:val="en-CA"/>
        </w:rPr>
        <w:t xml:space="preserve">criteria that must be taken into account at </w:t>
      </w:r>
      <w:r w:rsidR="00274C34">
        <w:rPr>
          <w:rFonts w:ascii="Times New Roman" w:hAnsi="Times New Roman" w:cs="Times New Roman"/>
          <w:sz w:val="24"/>
          <w:szCs w:val="24"/>
          <w:lang w:val="en-CA"/>
        </w:rPr>
        <w:t>the European human rights level.</w:t>
      </w:r>
    </w:p>
    <w:p w14:paraId="3DDA0080" w14:textId="039D5487" w:rsidR="00B1098B" w:rsidRDefault="003045EB" w:rsidP="00361FB9">
      <w:pPr>
        <w:jc w:val="both"/>
        <w:rPr>
          <w:rFonts w:ascii="Times New Roman" w:hAnsi="Times New Roman" w:cs="Times New Roman"/>
          <w:sz w:val="24"/>
          <w:szCs w:val="24"/>
          <w:lang w:val="en-CA"/>
        </w:rPr>
      </w:pPr>
      <w:r w:rsidRPr="00896497">
        <w:rPr>
          <w:rFonts w:ascii="Times New Roman" w:hAnsi="Times New Roman" w:cs="Times New Roman"/>
          <w:sz w:val="24"/>
          <w:szCs w:val="24"/>
          <w:lang w:val="en-CA"/>
        </w:rPr>
        <w:t>I</w:t>
      </w:r>
      <w:r w:rsidR="003749C2" w:rsidRPr="00896497">
        <w:rPr>
          <w:rFonts w:ascii="Times New Roman" w:hAnsi="Times New Roman" w:cs="Times New Roman"/>
          <w:sz w:val="24"/>
          <w:szCs w:val="24"/>
          <w:lang w:val="en-CA"/>
        </w:rPr>
        <w:t xml:space="preserve">nspiration can be found at the national level, more specifically in the </w:t>
      </w:r>
      <w:r w:rsidR="009A07D3" w:rsidRPr="00896497">
        <w:rPr>
          <w:rFonts w:ascii="Times New Roman" w:hAnsi="Times New Roman" w:cs="Times New Roman"/>
          <w:sz w:val="24"/>
          <w:szCs w:val="24"/>
          <w:lang w:val="en-CA"/>
        </w:rPr>
        <w:t>Belgian Council of State</w:t>
      </w:r>
      <w:r w:rsidR="009A07D3">
        <w:rPr>
          <w:rFonts w:ascii="Times New Roman" w:hAnsi="Times New Roman" w:cs="Times New Roman"/>
          <w:sz w:val="24"/>
          <w:szCs w:val="24"/>
          <w:lang w:val="en-CA"/>
        </w:rPr>
        <w:t>’s</w:t>
      </w:r>
      <w:r w:rsidR="009A07D3" w:rsidRPr="00896497">
        <w:rPr>
          <w:rFonts w:ascii="Times New Roman" w:hAnsi="Times New Roman" w:cs="Times New Roman"/>
          <w:sz w:val="24"/>
          <w:szCs w:val="24"/>
          <w:lang w:val="en-CA"/>
        </w:rPr>
        <w:t xml:space="preserve"> </w:t>
      </w:r>
      <w:r w:rsidR="003749C2" w:rsidRPr="00896497">
        <w:rPr>
          <w:rFonts w:ascii="Times New Roman" w:hAnsi="Times New Roman" w:cs="Times New Roman"/>
          <w:sz w:val="24"/>
          <w:szCs w:val="24"/>
          <w:lang w:val="en-CA"/>
        </w:rPr>
        <w:t xml:space="preserve">case </w:t>
      </w:r>
      <w:r w:rsidR="009A07D3">
        <w:rPr>
          <w:rFonts w:ascii="Times New Roman" w:hAnsi="Times New Roman" w:cs="Times New Roman"/>
          <w:sz w:val="24"/>
          <w:szCs w:val="24"/>
          <w:lang w:val="en-CA"/>
        </w:rPr>
        <w:t>law</w:t>
      </w:r>
      <w:r w:rsidR="003749C2" w:rsidRPr="00896497">
        <w:rPr>
          <w:rFonts w:ascii="Times New Roman" w:hAnsi="Times New Roman" w:cs="Times New Roman"/>
          <w:sz w:val="24"/>
          <w:szCs w:val="24"/>
          <w:lang w:val="en-CA"/>
        </w:rPr>
        <w:t xml:space="preserve">. </w:t>
      </w:r>
      <w:r w:rsidR="009A07D3">
        <w:rPr>
          <w:rFonts w:ascii="Times New Roman" w:hAnsi="Times New Roman" w:cs="Times New Roman"/>
          <w:sz w:val="24"/>
          <w:szCs w:val="24"/>
          <w:lang w:val="en-CA"/>
        </w:rPr>
        <w:t>The</w:t>
      </w:r>
      <w:r w:rsidR="00050943">
        <w:rPr>
          <w:rFonts w:ascii="Times New Roman" w:hAnsi="Times New Roman" w:cs="Times New Roman"/>
          <w:sz w:val="24"/>
          <w:szCs w:val="24"/>
          <w:lang w:val="en-CA"/>
        </w:rPr>
        <w:t xml:space="preserve"> Council of State applies </w:t>
      </w:r>
      <w:r w:rsidR="00B04A36" w:rsidRPr="00896497">
        <w:rPr>
          <w:rFonts w:ascii="Times New Roman" w:hAnsi="Times New Roman" w:cs="Times New Roman"/>
          <w:sz w:val="24"/>
          <w:szCs w:val="24"/>
          <w:lang w:val="en-CA"/>
        </w:rPr>
        <w:t xml:space="preserve">a </w:t>
      </w:r>
      <w:r w:rsidR="009C5CD2" w:rsidRPr="00896497">
        <w:rPr>
          <w:rFonts w:ascii="Times New Roman" w:hAnsi="Times New Roman" w:cs="Times New Roman"/>
          <w:sz w:val="24"/>
          <w:szCs w:val="24"/>
          <w:lang w:val="en-CA"/>
        </w:rPr>
        <w:t xml:space="preserve">different </w:t>
      </w:r>
      <w:r w:rsidR="003749C2" w:rsidRPr="00896497">
        <w:rPr>
          <w:rFonts w:ascii="Times New Roman" w:hAnsi="Times New Roman" w:cs="Times New Roman"/>
          <w:sz w:val="24"/>
          <w:szCs w:val="24"/>
          <w:lang w:val="en-CA"/>
        </w:rPr>
        <w:t xml:space="preserve">proportionality test, depending on </w:t>
      </w:r>
      <w:r w:rsidR="00C55720">
        <w:rPr>
          <w:rFonts w:ascii="Times New Roman" w:hAnsi="Times New Roman" w:cs="Times New Roman"/>
          <w:sz w:val="24"/>
          <w:szCs w:val="24"/>
          <w:lang w:val="en-CA"/>
        </w:rPr>
        <w:t>the preventive or punitive nature of th</w:t>
      </w:r>
      <w:r w:rsidR="002F5E5A">
        <w:rPr>
          <w:rFonts w:ascii="Times New Roman" w:hAnsi="Times New Roman" w:cs="Times New Roman"/>
          <w:sz w:val="24"/>
          <w:szCs w:val="24"/>
          <w:lang w:val="en-CA"/>
        </w:rPr>
        <w:t>e</w:t>
      </w:r>
      <w:r w:rsidR="00C55720">
        <w:rPr>
          <w:rFonts w:ascii="Times New Roman" w:hAnsi="Times New Roman" w:cs="Times New Roman"/>
          <w:sz w:val="24"/>
          <w:szCs w:val="24"/>
          <w:lang w:val="en-CA"/>
        </w:rPr>
        <w:t xml:space="preserve"> measure</w:t>
      </w:r>
      <w:r w:rsidR="00863F5E">
        <w:rPr>
          <w:rFonts w:ascii="Times New Roman" w:hAnsi="Times New Roman" w:cs="Times New Roman"/>
          <w:sz w:val="24"/>
          <w:szCs w:val="24"/>
          <w:lang w:val="en-CA"/>
        </w:rPr>
        <w:t xml:space="preserve"> imposed</w:t>
      </w:r>
      <w:r w:rsidR="00446B8A">
        <w:rPr>
          <w:rFonts w:ascii="Times New Roman" w:hAnsi="Times New Roman" w:cs="Times New Roman"/>
          <w:sz w:val="24"/>
          <w:szCs w:val="24"/>
          <w:lang w:val="en-CA"/>
        </w:rPr>
        <w:t xml:space="preserve"> and </w:t>
      </w:r>
      <w:r w:rsidR="00D957A3" w:rsidRPr="00446B8A">
        <w:rPr>
          <w:rFonts w:ascii="Times New Roman" w:hAnsi="Times New Roman" w:cs="Times New Roman"/>
          <w:sz w:val="24"/>
          <w:szCs w:val="24"/>
          <w:lang w:val="en-CA"/>
        </w:rPr>
        <w:t>it</w:t>
      </w:r>
      <w:r w:rsidR="00D957A3">
        <w:rPr>
          <w:rFonts w:ascii="Times New Roman" w:hAnsi="Times New Roman" w:cs="Times New Roman"/>
          <w:sz w:val="24"/>
          <w:szCs w:val="24"/>
          <w:lang w:val="en-CA"/>
        </w:rPr>
        <w:t xml:space="preserve"> applies </w:t>
      </w:r>
      <w:r w:rsidR="00607CE7">
        <w:rPr>
          <w:rFonts w:ascii="Times New Roman" w:hAnsi="Times New Roman" w:cs="Times New Roman"/>
          <w:sz w:val="24"/>
          <w:szCs w:val="24"/>
          <w:lang w:val="en-CA"/>
        </w:rPr>
        <w:t xml:space="preserve">the </w:t>
      </w:r>
      <w:r w:rsidR="00446B8A">
        <w:rPr>
          <w:rFonts w:ascii="Times New Roman" w:hAnsi="Times New Roman" w:cs="Times New Roman"/>
          <w:sz w:val="24"/>
          <w:szCs w:val="24"/>
          <w:lang w:val="en-CA"/>
        </w:rPr>
        <w:t xml:space="preserve">criminal </w:t>
      </w:r>
      <w:r w:rsidR="001E3A50" w:rsidRPr="00896497">
        <w:rPr>
          <w:rFonts w:ascii="Times New Roman" w:hAnsi="Times New Roman" w:cs="Times New Roman"/>
          <w:sz w:val="24"/>
          <w:szCs w:val="24"/>
          <w:lang w:val="en-CA"/>
        </w:rPr>
        <w:t xml:space="preserve">‘means-facts’ </w:t>
      </w:r>
      <w:r w:rsidR="004D1651" w:rsidRPr="00896497">
        <w:rPr>
          <w:rFonts w:ascii="Times New Roman" w:hAnsi="Times New Roman" w:cs="Times New Roman"/>
          <w:sz w:val="24"/>
          <w:szCs w:val="24"/>
          <w:lang w:val="en-CA"/>
        </w:rPr>
        <w:t>test</w:t>
      </w:r>
      <w:r w:rsidR="00607CE7">
        <w:rPr>
          <w:rFonts w:ascii="Times New Roman" w:hAnsi="Times New Roman" w:cs="Times New Roman"/>
          <w:sz w:val="24"/>
          <w:szCs w:val="24"/>
          <w:lang w:val="en-CA"/>
        </w:rPr>
        <w:t xml:space="preserve"> to only punitive measures</w:t>
      </w:r>
      <w:r w:rsidR="00A9396A">
        <w:rPr>
          <w:rFonts w:ascii="Times New Roman" w:hAnsi="Times New Roman" w:cs="Times New Roman"/>
          <w:sz w:val="24"/>
          <w:szCs w:val="24"/>
          <w:lang w:val="en-CA"/>
        </w:rPr>
        <w:t xml:space="preserve"> and not </w:t>
      </w:r>
      <w:r w:rsidR="00446B8A">
        <w:rPr>
          <w:rFonts w:ascii="Times New Roman" w:hAnsi="Times New Roman" w:cs="Times New Roman"/>
          <w:sz w:val="24"/>
          <w:szCs w:val="24"/>
          <w:lang w:val="en-CA"/>
        </w:rPr>
        <w:t>preventive measures</w:t>
      </w:r>
      <w:r w:rsidR="00882186" w:rsidRPr="00896497">
        <w:rPr>
          <w:rFonts w:ascii="Times New Roman" w:hAnsi="Times New Roman" w:cs="Times New Roman"/>
          <w:sz w:val="24"/>
          <w:szCs w:val="24"/>
          <w:lang w:val="en-CA"/>
        </w:rPr>
        <w:t>.</w:t>
      </w:r>
      <w:r w:rsidR="00511E1F" w:rsidRPr="00896497">
        <w:rPr>
          <w:rFonts w:ascii="Times New Roman" w:hAnsi="Times New Roman" w:cs="Times New Roman"/>
          <w:sz w:val="24"/>
          <w:szCs w:val="24"/>
          <w:lang w:val="en-CA"/>
        </w:rPr>
        <w:t xml:space="preserve"> </w:t>
      </w:r>
      <w:r w:rsidR="00896497">
        <w:rPr>
          <w:rFonts w:ascii="Times New Roman" w:hAnsi="Times New Roman" w:cs="Times New Roman"/>
          <w:sz w:val="24"/>
          <w:szCs w:val="24"/>
          <w:lang w:val="en-CA"/>
        </w:rPr>
        <w:t xml:space="preserve">I argued that </w:t>
      </w:r>
      <w:r w:rsidR="00125B24">
        <w:rPr>
          <w:rFonts w:ascii="Times New Roman" w:hAnsi="Times New Roman" w:cs="Times New Roman"/>
          <w:sz w:val="24"/>
          <w:szCs w:val="24"/>
          <w:lang w:val="en-CA"/>
        </w:rPr>
        <w:t xml:space="preserve">this </w:t>
      </w:r>
      <w:r w:rsidR="00050943">
        <w:rPr>
          <w:rFonts w:ascii="Times New Roman" w:hAnsi="Times New Roman" w:cs="Times New Roman"/>
          <w:sz w:val="24"/>
          <w:szCs w:val="24"/>
          <w:lang w:val="en-CA"/>
        </w:rPr>
        <w:t xml:space="preserve">distinction </w:t>
      </w:r>
      <w:r w:rsidR="00125B24">
        <w:rPr>
          <w:rFonts w:ascii="Times New Roman" w:hAnsi="Times New Roman" w:cs="Times New Roman"/>
          <w:sz w:val="24"/>
          <w:szCs w:val="24"/>
          <w:lang w:val="en-CA"/>
        </w:rPr>
        <w:t xml:space="preserve">appears to be in </w:t>
      </w:r>
      <w:r w:rsidR="00532475">
        <w:rPr>
          <w:rFonts w:ascii="Times New Roman" w:hAnsi="Times New Roman" w:cs="Times New Roman"/>
          <w:sz w:val="24"/>
          <w:szCs w:val="24"/>
          <w:lang w:val="en-CA"/>
        </w:rPr>
        <w:t>line</w:t>
      </w:r>
      <w:r w:rsidR="003C33EA">
        <w:rPr>
          <w:rFonts w:ascii="Times New Roman" w:hAnsi="Times New Roman" w:cs="Times New Roman"/>
          <w:sz w:val="24"/>
          <w:szCs w:val="24"/>
          <w:lang w:val="en-CA"/>
        </w:rPr>
        <w:t xml:space="preserve"> with Article 6 ECHR. The national authorities sh</w:t>
      </w:r>
      <w:r w:rsidR="00446B8A">
        <w:rPr>
          <w:rFonts w:ascii="Times New Roman" w:hAnsi="Times New Roman" w:cs="Times New Roman"/>
          <w:sz w:val="24"/>
          <w:szCs w:val="24"/>
          <w:lang w:val="en-CA"/>
        </w:rPr>
        <w:t xml:space="preserve">ould </w:t>
      </w:r>
      <w:r w:rsidR="003C33EA">
        <w:rPr>
          <w:rFonts w:ascii="Times New Roman" w:hAnsi="Times New Roman" w:cs="Times New Roman"/>
          <w:sz w:val="24"/>
          <w:szCs w:val="24"/>
          <w:lang w:val="en-CA"/>
        </w:rPr>
        <w:t xml:space="preserve">thus </w:t>
      </w:r>
      <w:r w:rsidR="00446B8A">
        <w:rPr>
          <w:rFonts w:ascii="Times New Roman" w:hAnsi="Times New Roman" w:cs="Times New Roman"/>
          <w:sz w:val="24"/>
          <w:szCs w:val="24"/>
          <w:lang w:val="en-CA"/>
        </w:rPr>
        <w:t>t</w:t>
      </w:r>
      <w:r w:rsidR="00896497">
        <w:rPr>
          <w:rFonts w:ascii="Times New Roman" w:hAnsi="Times New Roman" w:cs="Times New Roman"/>
          <w:sz w:val="24"/>
          <w:szCs w:val="24"/>
          <w:lang w:val="en-CA"/>
        </w:rPr>
        <w:t xml:space="preserve">ake </w:t>
      </w:r>
      <w:r w:rsidR="002F5E5A" w:rsidRPr="00532475">
        <w:rPr>
          <w:rFonts w:ascii="Times New Roman" w:hAnsi="Times New Roman" w:cs="Times New Roman"/>
          <w:sz w:val="24"/>
          <w:szCs w:val="24"/>
          <w:lang w:val="en-CA"/>
        </w:rPr>
        <w:t>into</w:t>
      </w:r>
      <w:r w:rsidR="00896497" w:rsidRPr="00532475">
        <w:rPr>
          <w:rFonts w:ascii="Times New Roman" w:hAnsi="Times New Roman" w:cs="Times New Roman"/>
          <w:sz w:val="24"/>
          <w:szCs w:val="24"/>
          <w:lang w:val="en-CA"/>
        </w:rPr>
        <w:t xml:space="preserve"> account the nature of the </w:t>
      </w:r>
      <w:r w:rsidR="00607CE7" w:rsidRPr="00532475">
        <w:rPr>
          <w:rFonts w:ascii="Times New Roman" w:hAnsi="Times New Roman" w:cs="Times New Roman"/>
          <w:sz w:val="24"/>
          <w:szCs w:val="24"/>
          <w:lang w:val="en-CA"/>
        </w:rPr>
        <w:t xml:space="preserve">freedom-restricting </w:t>
      </w:r>
      <w:r w:rsidR="00896497" w:rsidRPr="00532475">
        <w:rPr>
          <w:rFonts w:ascii="Times New Roman" w:hAnsi="Times New Roman" w:cs="Times New Roman"/>
          <w:sz w:val="24"/>
          <w:szCs w:val="24"/>
          <w:lang w:val="en-CA"/>
        </w:rPr>
        <w:t xml:space="preserve">measure </w:t>
      </w:r>
      <w:r w:rsidR="00446B8A">
        <w:rPr>
          <w:rFonts w:ascii="Times New Roman" w:hAnsi="Times New Roman" w:cs="Times New Roman"/>
          <w:sz w:val="24"/>
          <w:szCs w:val="24"/>
          <w:lang w:val="en-CA"/>
        </w:rPr>
        <w:t xml:space="preserve">and </w:t>
      </w:r>
      <w:r w:rsidR="00276CE8" w:rsidRPr="00532475">
        <w:rPr>
          <w:rFonts w:ascii="Times New Roman" w:hAnsi="Times New Roman" w:cs="Times New Roman"/>
          <w:sz w:val="24"/>
          <w:szCs w:val="24"/>
          <w:lang w:val="en-CA"/>
        </w:rPr>
        <w:t xml:space="preserve">distinguish </w:t>
      </w:r>
      <w:r w:rsidR="00532475" w:rsidRPr="00532475">
        <w:rPr>
          <w:rFonts w:ascii="Times New Roman" w:hAnsi="Times New Roman" w:cs="Times New Roman"/>
          <w:sz w:val="24"/>
          <w:szCs w:val="24"/>
          <w:lang w:val="en-CA"/>
        </w:rPr>
        <w:t>in terms of</w:t>
      </w:r>
      <w:r w:rsidR="00276CE8" w:rsidRPr="00532475">
        <w:rPr>
          <w:rFonts w:ascii="Times New Roman" w:hAnsi="Times New Roman" w:cs="Times New Roman"/>
          <w:sz w:val="24"/>
          <w:szCs w:val="24"/>
          <w:lang w:val="en-CA"/>
        </w:rPr>
        <w:t xml:space="preserve"> applicable proportionality test</w:t>
      </w:r>
      <w:r w:rsidR="00446B8A">
        <w:rPr>
          <w:rFonts w:ascii="Times New Roman" w:hAnsi="Times New Roman" w:cs="Times New Roman"/>
          <w:sz w:val="24"/>
          <w:szCs w:val="24"/>
          <w:lang w:val="en-CA"/>
        </w:rPr>
        <w:t xml:space="preserve"> in order to be compliant with Article 6</w:t>
      </w:r>
      <w:r w:rsidR="00896497" w:rsidRPr="00532475">
        <w:rPr>
          <w:rFonts w:ascii="Times New Roman" w:hAnsi="Times New Roman" w:cs="Times New Roman"/>
          <w:sz w:val="24"/>
          <w:szCs w:val="24"/>
          <w:lang w:val="en-CA"/>
        </w:rPr>
        <w:t>.</w:t>
      </w:r>
      <w:r w:rsidR="00391C6A">
        <w:rPr>
          <w:rFonts w:ascii="Times New Roman" w:hAnsi="Times New Roman" w:cs="Times New Roman"/>
          <w:sz w:val="24"/>
          <w:szCs w:val="24"/>
          <w:lang w:val="en-CA"/>
        </w:rPr>
        <w:t xml:space="preserve"> However, </w:t>
      </w:r>
      <w:r w:rsidR="000339D8">
        <w:rPr>
          <w:rFonts w:ascii="Times New Roman" w:hAnsi="Times New Roman" w:cs="Times New Roman"/>
          <w:sz w:val="24"/>
          <w:szCs w:val="24"/>
          <w:lang w:val="en-CA"/>
        </w:rPr>
        <w:t xml:space="preserve">they </w:t>
      </w:r>
      <w:r w:rsidR="009A07D3" w:rsidRPr="00532475">
        <w:rPr>
          <w:rFonts w:ascii="Times New Roman" w:hAnsi="Times New Roman" w:cs="Times New Roman"/>
          <w:sz w:val="24"/>
          <w:szCs w:val="24"/>
          <w:lang w:val="en-CA"/>
        </w:rPr>
        <w:t xml:space="preserve">must also </w:t>
      </w:r>
      <w:r w:rsidR="00446B8A">
        <w:rPr>
          <w:rFonts w:ascii="Times New Roman" w:hAnsi="Times New Roman" w:cs="Times New Roman"/>
          <w:sz w:val="24"/>
          <w:szCs w:val="24"/>
          <w:lang w:val="en-CA"/>
        </w:rPr>
        <w:t>be aware of</w:t>
      </w:r>
      <w:r w:rsidR="009A07D3">
        <w:rPr>
          <w:rFonts w:ascii="Times New Roman" w:hAnsi="Times New Roman" w:cs="Times New Roman"/>
          <w:sz w:val="24"/>
          <w:szCs w:val="24"/>
          <w:lang w:val="en-CA"/>
        </w:rPr>
        <w:t xml:space="preserve"> the possibility that area-based restrictio</w:t>
      </w:r>
      <w:r w:rsidR="00391C6A">
        <w:rPr>
          <w:rFonts w:ascii="Times New Roman" w:hAnsi="Times New Roman" w:cs="Times New Roman"/>
          <w:sz w:val="24"/>
          <w:szCs w:val="24"/>
          <w:lang w:val="en-CA"/>
        </w:rPr>
        <w:t xml:space="preserve">ns are to </w:t>
      </w:r>
      <w:r w:rsidR="009A07D3">
        <w:rPr>
          <w:rFonts w:ascii="Times New Roman" w:hAnsi="Times New Roman" w:cs="Times New Roman"/>
          <w:sz w:val="24"/>
          <w:szCs w:val="24"/>
          <w:lang w:val="en-CA"/>
        </w:rPr>
        <w:t xml:space="preserve">be </w:t>
      </w:r>
      <w:r w:rsidR="00391C6A">
        <w:rPr>
          <w:rFonts w:ascii="Times New Roman" w:hAnsi="Times New Roman" w:cs="Times New Roman"/>
          <w:sz w:val="24"/>
          <w:szCs w:val="24"/>
          <w:lang w:val="en-CA"/>
        </w:rPr>
        <w:t>considered</w:t>
      </w:r>
      <w:r w:rsidR="009A07D3">
        <w:rPr>
          <w:rFonts w:ascii="Times New Roman" w:hAnsi="Times New Roman" w:cs="Times New Roman"/>
          <w:sz w:val="24"/>
          <w:szCs w:val="24"/>
          <w:lang w:val="en-CA"/>
        </w:rPr>
        <w:t xml:space="preserve"> as </w:t>
      </w:r>
      <w:r w:rsidR="000F59FA" w:rsidRPr="000F59FA">
        <w:rPr>
          <w:rFonts w:ascii="Times New Roman" w:hAnsi="Times New Roman" w:cs="Times New Roman"/>
          <w:sz w:val="24"/>
          <w:szCs w:val="24"/>
          <w:lang w:val="en-CA"/>
        </w:rPr>
        <w:t xml:space="preserve">civil </w:t>
      </w:r>
      <w:r w:rsidR="009A07D3">
        <w:rPr>
          <w:rFonts w:ascii="Times New Roman" w:hAnsi="Times New Roman" w:cs="Times New Roman"/>
          <w:sz w:val="24"/>
          <w:szCs w:val="24"/>
          <w:lang w:val="en-CA"/>
        </w:rPr>
        <w:t>for the purposes of Article 6 ECHR</w:t>
      </w:r>
      <w:r w:rsidR="00511E1F" w:rsidRPr="000F59FA">
        <w:rPr>
          <w:rFonts w:ascii="Times New Roman" w:hAnsi="Times New Roman" w:cs="Times New Roman"/>
          <w:sz w:val="24"/>
          <w:szCs w:val="24"/>
          <w:lang w:val="en-CA"/>
        </w:rPr>
        <w:t>.</w:t>
      </w:r>
      <w:r w:rsidR="000F59FA" w:rsidRPr="000F59FA">
        <w:rPr>
          <w:rFonts w:ascii="Times New Roman" w:hAnsi="Times New Roman" w:cs="Times New Roman"/>
          <w:sz w:val="24"/>
          <w:szCs w:val="24"/>
          <w:lang w:val="en-CA"/>
        </w:rPr>
        <w:t xml:space="preserve"> </w:t>
      </w:r>
      <w:r w:rsidR="009A07D3">
        <w:rPr>
          <w:rFonts w:ascii="Times New Roman" w:hAnsi="Times New Roman" w:cs="Times New Roman"/>
          <w:sz w:val="24"/>
          <w:szCs w:val="24"/>
          <w:lang w:val="en-CA"/>
        </w:rPr>
        <w:t>After all, this classification has already been confirmed in UK case law as t</w:t>
      </w:r>
      <w:r w:rsidR="00863F5E">
        <w:rPr>
          <w:rFonts w:ascii="Times New Roman" w:hAnsi="Times New Roman" w:cs="Times New Roman"/>
          <w:sz w:val="24"/>
          <w:szCs w:val="24"/>
          <w:lang w:val="en-CA"/>
        </w:rPr>
        <w:t xml:space="preserve">o certain freedom-restricting public order powers. </w:t>
      </w:r>
      <w:r w:rsidR="0051666C">
        <w:rPr>
          <w:rFonts w:ascii="Times New Roman" w:hAnsi="Times New Roman" w:cs="Times New Roman"/>
          <w:sz w:val="24"/>
          <w:szCs w:val="24"/>
          <w:lang w:val="en-CA"/>
        </w:rPr>
        <w:t>I</w:t>
      </w:r>
      <w:r w:rsidR="000F59FA" w:rsidRPr="000F59FA">
        <w:rPr>
          <w:rFonts w:ascii="Times New Roman" w:hAnsi="Times New Roman" w:cs="Times New Roman"/>
          <w:sz w:val="24"/>
          <w:szCs w:val="24"/>
          <w:lang w:val="en-CA"/>
        </w:rPr>
        <w:t xml:space="preserve">f </w:t>
      </w:r>
      <w:r w:rsidR="002F5E5A">
        <w:rPr>
          <w:rFonts w:ascii="Times New Roman" w:hAnsi="Times New Roman" w:cs="Times New Roman"/>
          <w:sz w:val="24"/>
          <w:szCs w:val="24"/>
          <w:lang w:val="en-CA"/>
        </w:rPr>
        <w:t>the measure is</w:t>
      </w:r>
      <w:r w:rsidR="00C55720">
        <w:rPr>
          <w:rFonts w:ascii="Times New Roman" w:hAnsi="Times New Roman" w:cs="Times New Roman"/>
          <w:sz w:val="24"/>
          <w:szCs w:val="24"/>
          <w:lang w:val="en-CA"/>
        </w:rPr>
        <w:t xml:space="preserve"> </w:t>
      </w:r>
      <w:r w:rsidR="00097736">
        <w:rPr>
          <w:rFonts w:ascii="Times New Roman" w:hAnsi="Times New Roman" w:cs="Times New Roman"/>
          <w:sz w:val="24"/>
          <w:szCs w:val="24"/>
          <w:lang w:val="en-CA"/>
        </w:rPr>
        <w:t xml:space="preserve">to be </w:t>
      </w:r>
      <w:r w:rsidR="00F27BD5">
        <w:rPr>
          <w:rFonts w:ascii="Times New Roman" w:hAnsi="Times New Roman" w:cs="Times New Roman"/>
          <w:sz w:val="24"/>
          <w:szCs w:val="24"/>
          <w:lang w:val="en-CA"/>
        </w:rPr>
        <w:t>regarded</w:t>
      </w:r>
      <w:r w:rsidR="00C55720">
        <w:rPr>
          <w:rFonts w:ascii="Times New Roman" w:hAnsi="Times New Roman" w:cs="Times New Roman"/>
          <w:sz w:val="24"/>
          <w:szCs w:val="24"/>
          <w:lang w:val="en-CA"/>
        </w:rPr>
        <w:t xml:space="preserve"> as</w:t>
      </w:r>
      <w:r w:rsidR="002F5E5A">
        <w:rPr>
          <w:rFonts w:ascii="Times New Roman" w:hAnsi="Times New Roman" w:cs="Times New Roman"/>
          <w:sz w:val="24"/>
          <w:szCs w:val="24"/>
          <w:lang w:val="en-CA"/>
        </w:rPr>
        <w:t xml:space="preserve"> civil, </w:t>
      </w:r>
      <w:r w:rsidR="00097736" w:rsidRPr="000320E0">
        <w:rPr>
          <w:rFonts w:ascii="Times New Roman" w:hAnsi="Times New Roman" w:cs="Times New Roman"/>
          <w:sz w:val="24"/>
          <w:szCs w:val="24"/>
          <w:lang w:val="en-CA"/>
        </w:rPr>
        <w:t>it</w:t>
      </w:r>
      <w:r w:rsidR="00097736">
        <w:rPr>
          <w:rFonts w:ascii="Times New Roman" w:hAnsi="Times New Roman" w:cs="Times New Roman"/>
          <w:sz w:val="24"/>
          <w:szCs w:val="24"/>
          <w:lang w:val="en-CA"/>
        </w:rPr>
        <w:t xml:space="preserve"> appears at least implicitly from the Strasbourg Court’s case law that it must meet the criminal</w:t>
      </w:r>
      <w:r w:rsidR="002F5E5A">
        <w:rPr>
          <w:rFonts w:ascii="Times New Roman" w:hAnsi="Times New Roman" w:cs="Times New Roman"/>
          <w:sz w:val="24"/>
          <w:szCs w:val="24"/>
          <w:lang w:val="en-CA"/>
        </w:rPr>
        <w:t xml:space="preserve"> </w:t>
      </w:r>
      <w:r w:rsidR="000F59FA" w:rsidRPr="000F59FA">
        <w:rPr>
          <w:rFonts w:ascii="Times New Roman" w:hAnsi="Times New Roman" w:cs="Times New Roman"/>
          <w:sz w:val="24"/>
          <w:szCs w:val="24"/>
          <w:lang w:val="en-CA"/>
        </w:rPr>
        <w:t xml:space="preserve">‘means-facts’ test </w:t>
      </w:r>
      <w:r w:rsidR="002F5E5A">
        <w:rPr>
          <w:rFonts w:ascii="Times New Roman" w:hAnsi="Times New Roman" w:cs="Times New Roman"/>
          <w:sz w:val="24"/>
          <w:szCs w:val="24"/>
          <w:lang w:val="en-CA"/>
        </w:rPr>
        <w:t xml:space="preserve">as well, </w:t>
      </w:r>
      <w:r w:rsidR="00C55720">
        <w:rPr>
          <w:rFonts w:ascii="Times New Roman" w:hAnsi="Times New Roman" w:cs="Times New Roman"/>
          <w:sz w:val="24"/>
          <w:szCs w:val="24"/>
          <w:lang w:val="en-CA"/>
        </w:rPr>
        <w:t xml:space="preserve">since </w:t>
      </w:r>
      <w:r w:rsidR="00607CE7">
        <w:rPr>
          <w:rFonts w:ascii="Times New Roman" w:hAnsi="Times New Roman" w:cs="Times New Roman"/>
          <w:sz w:val="24"/>
          <w:szCs w:val="24"/>
          <w:lang w:val="en-CA"/>
        </w:rPr>
        <w:t>this test is</w:t>
      </w:r>
      <w:r w:rsidR="00C55720">
        <w:rPr>
          <w:rFonts w:ascii="Times New Roman" w:hAnsi="Times New Roman" w:cs="Times New Roman"/>
          <w:sz w:val="24"/>
          <w:szCs w:val="24"/>
          <w:lang w:val="en-CA"/>
        </w:rPr>
        <w:t xml:space="preserve"> applicable</w:t>
      </w:r>
      <w:r w:rsidR="000F59FA" w:rsidRPr="000F59FA">
        <w:rPr>
          <w:rFonts w:ascii="Times New Roman" w:hAnsi="Times New Roman" w:cs="Times New Roman"/>
          <w:sz w:val="24"/>
          <w:szCs w:val="24"/>
          <w:lang w:val="en-CA"/>
        </w:rPr>
        <w:t xml:space="preserve"> to both criminal and civil </w:t>
      </w:r>
      <w:r w:rsidR="0051666C">
        <w:rPr>
          <w:rFonts w:ascii="Times New Roman" w:hAnsi="Times New Roman" w:cs="Times New Roman"/>
          <w:sz w:val="24"/>
          <w:szCs w:val="24"/>
          <w:lang w:val="en-CA"/>
        </w:rPr>
        <w:t>matters</w:t>
      </w:r>
      <w:r w:rsidR="000F59FA" w:rsidRPr="000F59FA">
        <w:rPr>
          <w:rFonts w:ascii="Times New Roman" w:hAnsi="Times New Roman" w:cs="Times New Roman"/>
          <w:sz w:val="24"/>
          <w:szCs w:val="24"/>
          <w:lang w:val="en-CA"/>
        </w:rPr>
        <w:t>.</w:t>
      </w:r>
    </w:p>
    <w:p w14:paraId="640DE45B" w14:textId="79C5C846" w:rsidR="00852D78" w:rsidRDefault="00607CE7" w:rsidP="00D47943">
      <w:pPr>
        <w:jc w:val="both"/>
        <w:rPr>
          <w:rFonts w:ascii="Times New Roman" w:hAnsi="Times New Roman" w:cs="Times New Roman"/>
          <w:sz w:val="24"/>
          <w:szCs w:val="24"/>
          <w:lang w:val="en-CA"/>
        </w:rPr>
      </w:pPr>
      <w:r>
        <w:rPr>
          <w:rFonts w:ascii="Times New Roman" w:hAnsi="Times New Roman" w:cs="Times New Roman"/>
          <w:sz w:val="24"/>
          <w:szCs w:val="24"/>
          <w:lang w:val="en-CA"/>
        </w:rPr>
        <w:t>I</w:t>
      </w:r>
      <w:r w:rsidR="00EB58A1" w:rsidRPr="0082081D">
        <w:rPr>
          <w:rFonts w:ascii="Times New Roman" w:hAnsi="Times New Roman" w:cs="Times New Roman"/>
          <w:sz w:val="24"/>
          <w:szCs w:val="24"/>
          <w:lang w:val="en-CA"/>
        </w:rPr>
        <w:t xml:space="preserve"> argued that </w:t>
      </w:r>
      <w:r w:rsidR="00097736" w:rsidRPr="0082081D">
        <w:rPr>
          <w:rFonts w:ascii="Times New Roman" w:hAnsi="Times New Roman" w:cs="Times New Roman"/>
          <w:sz w:val="24"/>
          <w:szCs w:val="24"/>
          <w:lang w:val="en-CA"/>
        </w:rPr>
        <w:t>the criminal ‘means-facts’</w:t>
      </w:r>
      <w:r w:rsidR="00EB58A1" w:rsidRPr="0082081D">
        <w:rPr>
          <w:rFonts w:ascii="Times New Roman" w:hAnsi="Times New Roman" w:cs="Times New Roman"/>
          <w:sz w:val="24"/>
          <w:szCs w:val="24"/>
          <w:lang w:val="en-CA"/>
        </w:rPr>
        <w:t xml:space="preserve"> test is to be </w:t>
      </w:r>
      <w:r w:rsidR="00097736" w:rsidRPr="0082081D">
        <w:rPr>
          <w:rFonts w:ascii="Times New Roman" w:hAnsi="Times New Roman" w:cs="Times New Roman"/>
          <w:sz w:val="24"/>
          <w:szCs w:val="24"/>
          <w:lang w:val="en-CA"/>
        </w:rPr>
        <w:t xml:space="preserve">simultaneously </w:t>
      </w:r>
      <w:r w:rsidR="0082081D" w:rsidRPr="0082081D">
        <w:rPr>
          <w:rFonts w:ascii="Times New Roman" w:hAnsi="Times New Roman" w:cs="Times New Roman"/>
          <w:sz w:val="24"/>
          <w:szCs w:val="24"/>
          <w:lang w:val="en-CA"/>
        </w:rPr>
        <w:t>applied</w:t>
      </w:r>
      <w:r w:rsidR="00EB58A1" w:rsidRPr="0082081D">
        <w:rPr>
          <w:rFonts w:ascii="Times New Roman" w:hAnsi="Times New Roman" w:cs="Times New Roman"/>
          <w:sz w:val="24"/>
          <w:szCs w:val="24"/>
          <w:lang w:val="en-CA"/>
        </w:rPr>
        <w:t xml:space="preserve"> with the ‘aims-</w:t>
      </w:r>
      <w:r w:rsidR="00EB58A1">
        <w:rPr>
          <w:rFonts w:ascii="Times New Roman" w:hAnsi="Times New Roman" w:cs="Times New Roman"/>
          <w:sz w:val="24"/>
          <w:szCs w:val="24"/>
          <w:lang w:val="en-CA"/>
        </w:rPr>
        <w:t xml:space="preserve">means-consequences’ </w:t>
      </w:r>
      <w:r w:rsidR="00A409DA">
        <w:rPr>
          <w:rFonts w:ascii="Times New Roman" w:hAnsi="Times New Roman" w:cs="Times New Roman"/>
          <w:sz w:val="24"/>
          <w:szCs w:val="24"/>
          <w:lang w:val="en-CA"/>
        </w:rPr>
        <w:t>test</w:t>
      </w:r>
      <w:r w:rsidR="00A9396A">
        <w:rPr>
          <w:rFonts w:ascii="Times New Roman" w:hAnsi="Times New Roman" w:cs="Times New Roman"/>
          <w:sz w:val="24"/>
          <w:szCs w:val="24"/>
          <w:lang w:val="en-CA"/>
        </w:rPr>
        <w:t>. After all, t</w:t>
      </w:r>
      <w:r w:rsidR="00A409DA">
        <w:rPr>
          <w:rFonts w:ascii="Times New Roman" w:hAnsi="Times New Roman" w:cs="Times New Roman"/>
          <w:sz w:val="24"/>
          <w:szCs w:val="24"/>
          <w:lang w:val="en-CA"/>
        </w:rPr>
        <w:t>he</w:t>
      </w:r>
      <w:r w:rsidR="00A9396A">
        <w:rPr>
          <w:rFonts w:ascii="Times New Roman" w:hAnsi="Times New Roman" w:cs="Times New Roman"/>
          <w:sz w:val="24"/>
          <w:szCs w:val="24"/>
          <w:lang w:val="en-CA"/>
        </w:rPr>
        <w:t xml:space="preserve"> imposed</w:t>
      </w:r>
      <w:r w:rsidR="00A409DA">
        <w:rPr>
          <w:rFonts w:ascii="Times New Roman" w:hAnsi="Times New Roman" w:cs="Times New Roman"/>
          <w:sz w:val="24"/>
          <w:szCs w:val="24"/>
          <w:lang w:val="en-CA"/>
        </w:rPr>
        <w:t xml:space="preserve"> </w:t>
      </w:r>
      <w:r w:rsidR="00A409DA" w:rsidRPr="0082081D">
        <w:rPr>
          <w:rFonts w:ascii="Times New Roman" w:hAnsi="Times New Roman" w:cs="Times New Roman"/>
          <w:sz w:val="24"/>
          <w:szCs w:val="24"/>
          <w:lang w:val="en-CA"/>
        </w:rPr>
        <w:t xml:space="preserve">area-based restriction </w:t>
      </w:r>
      <w:r w:rsidR="00A409DA">
        <w:rPr>
          <w:rFonts w:ascii="Times New Roman" w:hAnsi="Times New Roman" w:cs="Times New Roman"/>
          <w:sz w:val="24"/>
          <w:szCs w:val="24"/>
          <w:lang w:val="en-CA"/>
        </w:rPr>
        <w:t>must meet</w:t>
      </w:r>
      <w:r w:rsidR="00A9396A">
        <w:rPr>
          <w:rFonts w:ascii="Times New Roman" w:hAnsi="Times New Roman" w:cs="Times New Roman"/>
          <w:sz w:val="24"/>
          <w:szCs w:val="24"/>
          <w:lang w:val="en-CA"/>
        </w:rPr>
        <w:t xml:space="preserve"> the latter test</w:t>
      </w:r>
      <w:r w:rsidR="00A409DA">
        <w:rPr>
          <w:rFonts w:ascii="Times New Roman" w:hAnsi="Times New Roman" w:cs="Times New Roman"/>
          <w:sz w:val="24"/>
          <w:szCs w:val="24"/>
          <w:lang w:val="en-CA"/>
        </w:rPr>
        <w:t xml:space="preserve"> in order to be</w:t>
      </w:r>
      <w:r w:rsidR="00EB58A1" w:rsidRPr="0082081D">
        <w:rPr>
          <w:rFonts w:ascii="Times New Roman" w:hAnsi="Times New Roman" w:cs="Times New Roman"/>
          <w:sz w:val="24"/>
          <w:szCs w:val="24"/>
          <w:lang w:val="en-CA"/>
        </w:rPr>
        <w:t xml:space="preserve"> compliant with the right to freedom of movement</w:t>
      </w:r>
      <w:r w:rsidR="00EB58A1">
        <w:rPr>
          <w:rFonts w:ascii="Times New Roman" w:hAnsi="Times New Roman" w:cs="Times New Roman"/>
          <w:sz w:val="24"/>
          <w:szCs w:val="24"/>
          <w:lang w:val="en-CA"/>
        </w:rPr>
        <w:t>.</w:t>
      </w:r>
      <w:r w:rsidR="00B1098B">
        <w:rPr>
          <w:rFonts w:ascii="Times New Roman" w:hAnsi="Times New Roman" w:cs="Times New Roman"/>
          <w:sz w:val="24"/>
          <w:szCs w:val="24"/>
          <w:lang w:val="en-CA"/>
        </w:rPr>
        <w:t xml:space="preserve"> </w:t>
      </w:r>
      <w:r w:rsidR="0082081D">
        <w:rPr>
          <w:rFonts w:ascii="Times New Roman" w:hAnsi="Times New Roman" w:cs="Times New Roman"/>
          <w:sz w:val="24"/>
          <w:szCs w:val="24"/>
          <w:lang w:val="en-CA"/>
        </w:rPr>
        <w:t>As a result, t</w:t>
      </w:r>
      <w:r w:rsidR="00097736">
        <w:rPr>
          <w:rFonts w:ascii="Times New Roman" w:hAnsi="Times New Roman" w:cs="Times New Roman"/>
          <w:sz w:val="24"/>
          <w:szCs w:val="24"/>
          <w:lang w:val="en-CA"/>
        </w:rPr>
        <w:t xml:space="preserve">he national authorities </w:t>
      </w:r>
      <w:r w:rsidR="001B7BAC">
        <w:rPr>
          <w:rFonts w:ascii="Times New Roman" w:hAnsi="Times New Roman" w:cs="Times New Roman"/>
          <w:sz w:val="24"/>
          <w:szCs w:val="24"/>
          <w:lang w:val="en-CA"/>
        </w:rPr>
        <w:t>may</w:t>
      </w:r>
      <w:r w:rsidR="00097736">
        <w:rPr>
          <w:rFonts w:ascii="Times New Roman" w:hAnsi="Times New Roman" w:cs="Times New Roman"/>
          <w:sz w:val="24"/>
          <w:szCs w:val="24"/>
          <w:lang w:val="en-CA"/>
        </w:rPr>
        <w:t xml:space="preserve"> find themselves confronted with </w:t>
      </w:r>
      <w:r w:rsidR="0082081D">
        <w:rPr>
          <w:rFonts w:ascii="Times New Roman" w:hAnsi="Times New Roman" w:cs="Times New Roman"/>
          <w:sz w:val="24"/>
          <w:szCs w:val="24"/>
          <w:lang w:val="en-CA"/>
        </w:rPr>
        <w:t>several proportionality test</w:t>
      </w:r>
      <w:r w:rsidR="001B06AE">
        <w:rPr>
          <w:rFonts w:ascii="Times New Roman" w:hAnsi="Times New Roman" w:cs="Times New Roman"/>
          <w:sz w:val="24"/>
          <w:szCs w:val="24"/>
          <w:lang w:val="en-CA"/>
        </w:rPr>
        <w:t>s</w:t>
      </w:r>
      <w:r w:rsidR="00CE7F17">
        <w:rPr>
          <w:rFonts w:ascii="Times New Roman" w:hAnsi="Times New Roman" w:cs="Times New Roman"/>
          <w:sz w:val="24"/>
          <w:szCs w:val="24"/>
          <w:lang w:val="en-CA"/>
        </w:rPr>
        <w:t xml:space="preserve"> </w:t>
      </w:r>
      <w:r w:rsidR="0082081D">
        <w:rPr>
          <w:rFonts w:ascii="Times New Roman" w:hAnsi="Times New Roman" w:cs="Times New Roman"/>
          <w:sz w:val="24"/>
          <w:szCs w:val="24"/>
          <w:lang w:val="en-CA"/>
        </w:rPr>
        <w:t xml:space="preserve">and thus </w:t>
      </w:r>
      <w:r w:rsidR="00097736">
        <w:rPr>
          <w:rFonts w:ascii="Times New Roman" w:hAnsi="Times New Roman" w:cs="Times New Roman"/>
          <w:sz w:val="24"/>
          <w:szCs w:val="24"/>
          <w:lang w:val="en-CA"/>
        </w:rPr>
        <w:t xml:space="preserve">multiple </w:t>
      </w:r>
      <w:r w:rsidR="00A30816">
        <w:rPr>
          <w:rFonts w:ascii="Times New Roman" w:hAnsi="Times New Roman" w:cs="Times New Roman"/>
          <w:sz w:val="24"/>
          <w:szCs w:val="24"/>
          <w:lang w:val="en-CA"/>
        </w:rPr>
        <w:t>criteria that they have to apply at the same time</w:t>
      </w:r>
      <w:r w:rsidR="00097736">
        <w:rPr>
          <w:rFonts w:ascii="Times New Roman" w:hAnsi="Times New Roman" w:cs="Times New Roman"/>
          <w:sz w:val="24"/>
          <w:szCs w:val="24"/>
          <w:lang w:val="en-CA"/>
        </w:rPr>
        <w:t>.</w:t>
      </w:r>
      <w:r w:rsidR="00A30816">
        <w:rPr>
          <w:rFonts w:ascii="Times New Roman" w:hAnsi="Times New Roman" w:cs="Times New Roman"/>
          <w:sz w:val="24"/>
          <w:szCs w:val="24"/>
          <w:lang w:val="en-CA"/>
        </w:rPr>
        <w:t xml:space="preserve"> </w:t>
      </w:r>
      <w:r w:rsidR="00532475" w:rsidRPr="003C33EA">
        <w:rPr>
          <w:rFonts w:ascii="Times New Roman" w:hAnsi="Times New Roman" w:cs="Times New Roman"/>
          <w:sz w:val="24"/>
          <w:szCs w:val="24"/>
          <w:lang w:val="en-CA"/>
        </w:rPr>
        <w:t>Therefore</w:t>
      </w:r>
      <w:r w:rsidR="00A30816" w:rsidRPr="003C33EA">
        <w:rPr>
          <w:rFonts w:ascii="Times New Roman" w:hAnsi="Times New Roman" w:cs="Times New Roman"/>
          <w:sz w:val="24"/>
          <w:szCs w:val="24"/>
          <w:lang w:val="en-CA"/>
        </w:rPr>
        <w:t>, and although some inspiration can be found at the national level</w:t>
      </w:r>
      <w:r w:rsidRPr="003C33EA">
        <w:rPr>
          <w:rFonts w:ascii="Times New Roman" w:hAnsi="Times New Roman" w:cs="Times New Roman"/>
          <w:sz w:val="24"/>
          <w:szCs w:val="24"/>
          <w:lang w:val="en-CA"/>
        </w:rPr>
        <w:t xml:space="preserve"> to </w:t>
      </w:r>
      <w:r w:rsidR="00685C24">
        <w:rPr>
          <w:rFonts w:ascii="Times New Roman" w:hAnsi="Times New Roman" w:cs="Times New Roman"/>
          <w:sz w:val="24"/>
          <w:szCs w:val="24"/>
          <w:lang w:val="en-CA"/>
        </w:rPr>
        <w:t>tackle</w:t>
      </w:r>
      <w:r w:rsidR="00685C24" w:rsidRPr="003C33EA">
        <w:rPr>
          <w:rFonts w:ascii="Times New Roman" w:hAnsi="Times New Roman" w:cs="Times New Roman"/>
          <w:sz w:val="24"/>
          <w:szCs w:val="24"/>
          <w:lang w:val="en-CA"/>
        </w:rPr>
        <w:t xml:space="preserve"> </w:t>
      </w:r>
      <w:r w:rsidRPr="003C33EA">
        <w:rPr>
          <w:rFonts w:ascii="Times New Roman" w:hAnsi="Times New Roman" w:cs="Times New Roman"/>
          <w:sz w:val="24"/>
          <w:szCs w:val="24"/>
          <w:lang w:val="en-CA"/>
        </w:rPr>
        <w:t>the</w:t>
      </w:r>
      <w:r w:rsidRPr="00A409DA">
        <w:rPr>
          <w:rFonts w:ascii="Times New Roman" w:hAnsi="Times New Roman" w:cs="Times New Roman"/>
          <w:sz w:val="24"/>
          <w:szCs w:val="24"/>
          <w:lang w:val="en-CA"/>
        </w:rPr>
        <w:t xml:space="preserve"> </w:t>
      </w:r>
      <w:r w:rsidR="00685C24">
        <w:rPr>
          <w:rFonts w:ascii="Times New Roman" w:hAnsi="Times New Roman" w:cs="Times New Roman"/>
          <w:sz w:val="24"/>
          <w:szCs w:val="24"/>
          <w:lang w:val="en-CA"/>
        </w:rPr>
        <w:t xml:space="preserve">lack of clarity </w:t>
      </w:r>
      <w:r w:rsidRPr="00A409DA">
        <w:rPr>
          <w:rFonts w:ascii="Times New Roman" w:hAnsi="Times New Roman" w:cs="Times New Roman"/>
          <w:sz w:val="24"/>
          <w:szCs w:val="24"/>
          <w:lang w:val="en-CA"/>
        </w:rPr>
        <w:t>at the European human rights level</w:t>
      </w:r>
      <w:r w:rsidR="00A30816" w:rsidRPr="00A409DA">
        <w:rPr>
          <w:rFonts w:ascii="Times New Roman" w:hAnsi="Times New Roman" w:cs="Times New Roman"/>
          <w:sz w:val="24"/>
          <w:szCs w:val="24"/>
          <w:lang w:val="en-CA"/>
        </w:rPr>
        <w:t>, this contribution</w:t>
      </w:r>
      <w:r w:rsidR="003C33EA">
        <w:rPr>
          <w:rFonts w:ascii="Times New Roman" w:hAnsi="Times New Roman" w:cs="Times New Roman"/>
          <w:sz w:val="24"/>
          <w:szCs w:val="24"/>
          <w:lang w:val="en-CA"/>
        </w:rPr>
        <w:t xml:space="preserve"> also</w:t>
      </w:r>
      <w:r w:rsidR="00A30816" w:rsidRPr="00A409DA">
        <w:rPr>
          <w:rFonts w:ascii="Times New Roman" w:hAnsi="Times New Roman" w:cs="Times New Roman"/>
          <w:sz w:val="24"/>
          <w:szCs w:val="24"/>
          <w:lang w:val="en-CA"/>
        </w:rPr>
        <w:t xml:space="preserve"> aims to warn the national authorities</w:t>
      </w:r>
      <w:r w:rsidR="00EB58A1" w:rsidRPr="00A409DA">
        <w:rPr>
          <w:rFonts w:ascii="Times New Roman" w:hAnsi="Times New Roman" w:cs="Times New Roman"/>
          <w:sz w:val="24"/>
          <w:szCs w:val="24"/>
          <w:lang w:val="en-CA"/>
        </w:rPr>
        <w:t xml:space="preserve"> that assessing the proportiona</w:t>
      </w:r>
      <w:r w:rsidR="003C33EA">
        <w:rPr>
          <w:rFonts w:ascii="Times New Roman" w:hAnsi="Times New Roman" w:cs="Times New Roman"/>
          <w:sz w:val="24"/>
          <w:szCs w:val="24"/>
          <w:lang w:val="en-CA"/>
        </w:rPr>
        <w:t xml:space="preserve">lity of area-based restrictions </w:t>
      </w:r>
      <w:r w:rsidR="003C33EA" w:rsidRPr="003C33EA">
        <w:rPr>
          <w:rFonts w:ascii="Times New Roman" w:hAnsi="Times New Roman" w:cs="Times New Roman"/>
          <w:sz w:val="24"/>
          <w:szCs w:val="24"/>
          <w:lang w:val="en-CA"/>
        </w:rPr>
        <w:t>continues to be</w:t>
      </w:r>
      <w:r w:rsidR="00A9396A">
        <w:rPr>
          <w:rFonts w:ascii="Times New Roman" w:hAnsi="Times New Roman" w:cs="Times New Roman"/>
          <w:sz w:val="24"/>
          <w:szCs w:val="24"/>
          <w:lang w:val="en-CA"/>
        </w:rPr>
        <w:t xml:space="preserve"> </w:t>
      </w:r>
      <w:r w:rsidR="003C33EA" w:rsidRPr="003C33EA">
        <w:rPr>
          <w:rFonts w:ascii="Times New Roman" w:hAnsi="Times New Roman" w:cs="Times New Roman"/>
          <w:sz w:val="24"/>
          <w:szCs w:val="24"/>
          <w:lang w:val="en-CA"/>
        </w:rPr>
        <w:t>anything but simple and straight- forward</w:t>
      </w:r>
      <w:r w:rsidR="00EB58A1" w:rsidRPr="00A409DA">
        <w:rPr>
          <w:rFonts w:ascii="Times New Roman" w:hAnsi="Times New Roman" w:cs="Times New Roman"/>
          <w:sz w:val="24"/>
          <w:szCs w:val="24"/>
          <w:lang w:val="en-CA"/>
        </w:rPr>
        <w:t>.</w:t>
      </w:r>
    </w:p>
    <w:p w14:paraId="25900626" w14:textId="77777777" w:rsidR="001B06AE" w:rsidRPr="001874B8" w:rsidRDefault="001B06AE" w:rsidP="00D47943">
      <w:pPr>
        <w:jc w:val="both"/>
        <w:rPr>
          <w:rFonts w:ascii="Times New Roman" w:hAnsi="Times New Roman" w:cs="Times New Roman"/>
          <w:sz w:val="24"/>
          <w:szCs w:val="24"/>
          <w:lang w:val="en-CA"/>
        </w:rPr>
      </w:pPr>
    </w:p>
    <w:p w14:paraId="03FE68CE" w14:textId="77777777" w:rsidR="00852D78" w:rsidRDefault="00852D78" w:rsidP="00D47943">
      <w:pPr>
        <w:jc w:val="both"/>
        <w:rPr>
          <w:rFonts w:ascii="Times New Roman" w:hAnsi="Times New Roman" w:cs="Times New Roman"/>
          <w:sz w:val="24"/>
          <w:szCs w:val="24"/>
          <w:lang w:val="en-CA"/>
        </w:rPr>
      </w:pPr>
      <w:r w:rsidRPr="00505CCF">
        <w:rPr>
          <w:rFonts w:ascii="Times New Roman" w:hAnsi="Times New Roman" w:cs="Times New Roman"/>
          <w:sz w:val="24"/>
          <w:szCs w:val="24"/>
          <w:lang w:val="en-CA"/>
        </w:rPr>
        <w:t>Liesbeth Todts</w:t>
      </w:r>
    </w:p>
    <w:p w14:paraId="52074FF9" w14:textId="62EB67ED" w:rsidR="008910F0" w:rsidRDefault="00505CCF" w:rsidP="00C939A3">
      <w:pPr>
        <w:autoSpaceDE w:val="0"/>
        <w:autoSpaceDN w:val="0"/>
        <w:adjustRightInd w:val="0"/>
        <w:spacing w:after="0" w:line="240" w:lineRule="auto"/>
        <w:rPr>
          <w:rFonts w:ascii="Times New Roman" w:hAnsi="Times New Roman" w:cs="Times New Roman"/>
          <w:i/>
          <w:iCs/>
          <w:sz w:val="24"/>
          <w:szCs w:val="24"/>
          <w:lang w:val="en-US"/>
        </w:rPr>
      </w:pPr>
      <w:r w:rsidRPr="00C939A3">
        <w:rPr>
          <w:rFonts w:ascii="Times New Roman" w:hAnsi="Times New Roman" w:cs="Times New Roman"/>
          <w:i/>
          <w:iCs/>
          <w:sz w:val="24"/>
          <w:szCs w:val="24"/>
          <w:lang w:val="en-US"/>
        </w:rPr>
        <w:t>PhD Candidate at the University of Antwerp,</w:t>
      </w:r>
      <w:r w:rsidR="00C939A3">
        <w:rPr>
          <w:rFonts w:ascii="Times New Roman" w:hAnsi="Times New Roman" w:cs="Times New Roman"/>
          <w:i/>
          <w:iCs/>
          <w:sz w:val="24"/>
          <w:szCs w:val="24"/>
          <w:lang w:val="en-US"/>
        </w:rPr>
        <w:t xml:space="preserve"> </w:t>
      </w:r>
      <w:r w:rsidRPr="00C939A3">
        <w:rPr>
          <w:rFonts w:ascii="Times New Roman" w:hAnsi="Times New Roman" w:cs="Times New Roman"/>
          <w:i/>
          <w:iCs/>
          <w:sz w:val="24"/>
          <w:szCs w:val="24"/>
          <w:lang w:val="en-CA"/>
        </w:rPr>
        <w:t>Re</w:t>
      </w:r>
      <w:r w:rsidR="002941D2" w:rsidRPr="00C939A3">
        <w:rPr>
          <w:rFonts w:ascii="Times New Roman" w:hAnsi="Times New Roman" w:cs="Times New Roman"/>
          <w:i/>
          <w:iCs/>
          <w:sz w:val="24"/>
          <w:szCs w:val="24"/>
          <w:lang w:val="en-CA"/>
        </w:rPr>
        <w:t xml:space="preserve">search Group </w:t>
      </w:r>
      <w:r w:rsidR="00607CE7">
        <w:rPr>
          <w:rFonts w:ascii="Times New Roman" w:hAnsi="Times New Roman" w:cs="Times New Roman"/>
          <w:i/>
          <w:iCs/>
          <w:sz w:val="24"/>
          <w:szCs w:val="24"/>
          <w:lang w:val="en-CA"/>
        </w:rPr>
        <w:t>Government</w:t>
      </w:r>
      <w:r w:rsidR="002941D2" w:rsidRPr="00C939A3">
        <w:rPr>
          <w:rFonts w:ascii="Times New Roman" w:hAnsi="Times New Roman" w:cs="Times New Roman"/>
          <w:i/>
          <w:iCs/>
          <w:sz w:val="24"/>
          <w:szCs w:val="24"/>
          <w:lang w:val="en-CA"/>
        </w:rPr>
        <w:t xml:space="preserve"> and Law</w:t>
      </w:r>
    </w:p>
    <w:p w14:paraId="52C82D21" w14:textId="77777777" w:rsidR="007A2F4D" w:rsidRPr="00274C34" w:rsidRDefault="007A2F4D" w:rsidP="008910F0">
      <w:pPr>
        <w:rPr>
          <w:rFonts w:ascii="Times New Roman" w:hAnsi="Times New Roman" w:cs="Times New Roman"/>
          <w:sz w:val="24"/>
          <w:szCs w:val="24"/>
          <w:highlight w:val="yellow"/>
          <w:lang w:val="en-CA"/>
        </w:rPr>
      </w:pPr>
    </w:p>
    <w:p w14:paraId="2B0270C7" w14:textId="6D5DA0AB" w:rsidR="005801B1" w:rsidRPr="007A2F4D" w:rsidRDefault="008910F0" w:rsidP="008910F0">
      <w:pPr>
        <w:rPr>
          <w:rFonts w:ascii="Times New Roman" w:hAnsi="Times New Roman" w:cs="Times New Roman"/>
          <w:b/>
          <w:sz w:val="24"/>
          <w:szCs w:val="24"/>
        </w:rPr>
      </w:pPr>
      <w:r w:rsidRPr="007A2F4D">
        <w:rPr>
          <w:rFonts w:ascii="Times New Roman" w:hAnsi="Times New Roman" w:cs="Times New Roman"/>
          <w:b/>
          <w:sz w:val="24"/>
          <w:szCs w:val="24"/>
        </w:rPr>
        <w:t>List of abbreviations</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11"/>
      </w:tblGrid>
      <w:tr w:rsidR="007A2F4D" w:rsidRPr="00F72E3A" w14:paraId="300B1BD1" w14:textId="77777777" w:rsidTr="007A2F4D">
        <w:tc>
          <w:tcPr>
            <w:tcW w:w="1101" w:type="dxa"/>
          </w:tcPr>
          <w:p w14:paraId="5242337E" w14:textId="77777777" w:rsidR="007A2F4D" w:rsidRDefault="007A2F4D" w:rsidP="000339D8">
            <w:pPr>
              <w:rPr>
                <w:rFonts w:ascii="Times New Roman" w:hAnsi="Times New Roman" w:cs="Times New Roman"/>
                <w:sz w:val="24"/>
                <w:szCs w:val="24"/>
              </w:rPr>
            </w:pPr>
            <w:r w:rsidRPr="00455188">
              <w:rPr>
                <w:rFonts w:ascii="Times New Roman" w:hAnsi="Times New Roman" w:cs="Times New Roman"/>
                <w:sz w:val="24"/>
                <w:szCs w:val="24"/>
              </w:rPr>
              <w:t>ACPA</w:t>
            </w:r>
          </w:p>
        </w:tc>
        <w:tc>
          <w:tcPr>
            <w:tcW w:w="8111" w:type="dxa"/>
          </w:tcPr>
          <w:p w14:paraId="50BE4FE0" w14:textId="77777777" w:rsidR="007A2F4D" w:rsidRPr="007A2F4D" w:rsidRDefault="007A2F4D" w:rsidP="000339D8">
            <w:pPr>
              <w:rPr>
                <w:rFonts w:ascii="Times New Roman" w:hAnsi="Times New Roman" w:cs="Times New Roman"/>
                <w:sz w:val="24"/>
                <w:szCs w:val="24"/>
                <w:lang w:val="en-CA"/>
              </w:rPr>
            </w:pPr>
            <w:r w:rsidRPr="00817E2C">
              <w:rPr>
                <w:rFonts w:ascii="Times New Roman" w:hAnsi="Times New Roman" w:cs="Times New Roman"/>
                <w:sz w:val="24"/>
                <w:szCs w:val="24"/>
                <w:lang w:val="en-US"/>
              </w:rPr>
              <w:t>Anti-social</w:t>
            </w:r>
            <w:r>
              <w:rPr>
                <w:rFonts w:ascii="Times New Roman" w:hAnsi="Times New Roman" w:cs="Times New Roman"/>
                <w:sz w:val="24"/>
                <w:szCs w:val="24"/>
                <w:lang w:val="en-GB"/>
              </w:rPr>
              <w:t xml:space="preserve"> B</w:t>
            </w:r>
            <w:r w:rsidRPr="00817E2C">
              <w:rPr>
                <w:rFonts w:ascii="Times New Roman" w:hAnsi="Times New Roman" w:cs="Times New Roman"/>
                <w:sz w:val="24"/>
                <w:szCs w:val="24"/>
                <w:lang w:val="en-GB"/>
              </w:rPr>
              <w:t>ehaviour</w:t>
            </w:r>
            <w:r w:rsidRPr="00817E2C">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817E2C">
              <w:rPr>
                <w:rFonts w:ascii="Times New Roman" w:hAnsi="Times New Roman" w:cs="Times New Roman"/>
                <w:sz w:val="24"/>
                <w:szCs w:val="24"/>
                <w:lang w:val="en-US"/>
              </w:rPr>
              <w:t>rime and Policing Act 2014</w:t>
            </w:r>
          </w:p>
        </w:tc>
      </w:tr>
      <w:tr w:rsidR="007A2F4D" w:rsidRPr="00F72E3A" w14:paraId="42222285" w14:textId="77777777" w:rsidTr="007A2F4D">
        <w:tc>
          <w:tcPr>
            <w:tcW w:w="1101" w:type="dxa"/>
          </w:tcPr>
          <w:p w14:paraId="5CA921D0" w14:textId="77777777" w:rsidR="007A2F4D" w:rsidRDefault="007A2F4D" w:rsidP="000339D8">
            <w:pPr>
              <w:rPr>
                <w:rFonts w:ascii="Times New Roman" w:hAnsi="Times New Roman" w:cs="Times New Roman"/>
                <w:sz w:val="24"/>
                <w:szCs w:val="24"/>
              </w:rPr>
            </w:pPr>
            <w:r w:rsidRPr="00455188">
              <w:rPr>
                <w:rFonts w:ascii="Times New Roman" w:hAnsi="Times New Roman" w:cs="Times New Roman"/>
                <w:sz w:val="24"/>
                <w:szCs w:val="24"/>
                <w:lang w:val="en-US"/>
              </w:rPr>
              <w:t>ECHR</w:t>
            </w:r>
          </w:p>
        </w:tc>
        <w:tc>
          <w:tcPr>
            <w:tcW w:w="8111" w:type="dxa"/>
          </w:tcPr>
          <w:p w14:paraId="5F8310A3" w14:textId="77777777" w:rsidR="007A2F4D" w:rsidRPr="007A2F4D" w:rsidRDefault="007A2F4D" w:rsidP="000339D8">
            <w:pPr>
              <w:rPr>
                <w:rFonts w:ascii="Times New Roman" w:hAnsi="Times New Roman" w:cs="Times New Roman"/>
                <w:sz w:val="24"/>
                <w:szCs w:val="24"/>
                <w:lang w:val="en-CA"/>
              </w:rPr>
            </w:pPr>
            <w:r w:rsidRPr="007A2F4D">
              <w:rPr>
                <w:rFonts w:ascii="Times New Roman" w:hAnsi="Times New Roman" w:cs="Times New Roman"/>
                <w:sz w:val="24"/>
                <w:szCs w:val="24"/>
                <w:lang w:val="en-CA"/>
              </w:rPr>
              <w:t>European Convention on Human Rights</w:t>
            </w:r>
          </w:p>
        </w:tc>
      </w:tr>
      <w:tr w:rsidR="007A2F4D" w:rsidRPr="00F72E3A" w14:paraId="3F7B96E4" w14:textId="77777777" w:rsidTr="007A2F4D">
        <w:tc>
          <w:tcPr>
            <w:tcW w:w="1101" w:type="dxa"/>
          </w:tcPr>
          <w:p w14:paraId="01A58D36" w14:textId="77777777" w:rsidR="007A2F4D" w:rsidRDefault="007A2F4D" w:rsidP="000339D8">
            <w:pPr>
              <w:rPr>
                <w:rFonts w:ascii="Times New Roman" w:hAnsi="Times New Roman" w:cs="Times New Roman"/>
                <w:sz w:val="24"/>
                <w:szCs w:val="24"/>
              </w:rPr>
            </w:pPr>
            <w:r w:rsidRPr="00455188">
              <w:rPr>
                <w:rFonts w:ascii="Times New Roman" w:hAnsi="Times New Roman" w:cs="Times New Roman"/>
                <w:sz w:val="24"/>
                <w:szCs w:val="24"/>
                <w:lang w:val="en-US"/>
              </w:rPr>
              <w:t>FAP</w:t>
            </w:r>
          </w:p>
        </w:tc>
        <w:tc>
          <w:tcPr>
            <w:tcW w:w="8111" w:type="dxa"/>
          </w:tcPr>
          <w:p w14:paraId="47270870" w14:textId="77777777" w:rsidR="007A2F4D" w:rsidRPr="007A2F4D" w:rsidRDefault="007A2F4D" w:rsidP="000339D8">
            <w:pPr>
              <w:rPr>
                <w:rFonts w:ascii="Times New Roman" w:hAnsi="Times New Roman" w:cs="Times New Roman"/>
                <w:sz w:val="24"/>
                <w:szCs w:val="24"/>
                <w:lang w:val="en-CA"/>
              </w:rPr>
            </w:pPr>
            <w:r w:rsidRPr="00B74533">
              <w:rPr>
                <w:rFonts w:ascii="Times New Roman" w:hAnsi="Times New Roman" w:cs="Times New Roman"/>
                <w:sz w:val="24"/>
                <w:szCs w:val="24"/>
                <w:lang w:val="en-CA"/>
              </w:rPr>
              <w:t>Fourth Additional Protocol of the European Convention on</w:t>
            </w:r>
            <w:r>
              <w:rPr>
                <w:rFonts w:ascii="Times New Roman" w:hAnsi="Times New Roman" w:cs="Times New Roman"/>
                <w:sz w:val="24"/>
                <w:szCs w:val="24"/>
                <w:lang w:val="en-CA"/>
              </w:rPr>
              <w:t xml:space="preserve"> Human Rights</w:t>
            </w:r>
          </w:p>
        </w:tc>
      </w:tr>
      <w:tr w:rsidR="007A2F4D" w14:paraId="4BC688FA" w14:textId="77777777" w:rsidTr="007A2F4D">
        <w:tc>
          <w:tcPr>
            <w:tcW w:w="1101" w:type="dxa"/>
          </w:tcPr>
          <w:p w14:paraId="7DB30326" w14:textId="0F0BFE5F" w:rsidR="007A2F4D" w:rsidRDefault="007A2F4D" w:rsidP="007A2F4D">
            <w:pPr>
              <w:rPr>
                <w:rFonts w:ascii="Times New Roman" w:hAnsi="Times New Roman" w:cs="Times New Roman"/>
                <w:sz w:val="24"/>
                <w:szCs w:val="24"/>
              </w:rPr>
            </w:pPr>
            <w:r w:rsidRPr="00455188">
              <w:rPr>
                <w:rFonts w:ascii="Times New Roman" w:hAnsi="Times New Roman" w:cs="Times New Roman"/>
                <w:sz w:val="24"/>
                <w:szCs w:val="24"/>
              </w:rPr>
              <w:t xml:space="preserve">NMA  </w:t>
            </w:r>
          </w:p>
        </w:tc>
        <w:tc>
          <w:tcPr>
            <w:tcW w:w="8111" w:type="dxa"/>
          </w:tcPr>
          <w:p w14:paraId="578CB347" w14:textId="0E472D89" w:rsidR="007A2F4D" w:rsidRDefault="000339D8" w:rsidP="007A2F4D">
            <w:pPr>
              <w:rPr>
                <w:rFonts w:ascii="Times New Roman" w:hAnsi="Times New Roman" w:cs="Times New Roman"/>
                <w:sz w:val="24"/>
                <w:szCs w:val="24"/>
              </w:rPr>
            </w:pPr>
            <w:r>
              <w:rPr>
                <w:rFonts w:ascii="Times New Roman" w:eastAsia="Times New Roman" w:hAnsi="Times New Roman" w:cs="Times New Roman"/>
                <w:sz w:val="24"/>
                <w:szCs w:val="24"/>
                <w:lang w:val="en-CA" w:eastAsia="nl-BE"/>
              </w:rPr>
              <w:t xml:space="preserve">Belgian </w:t>
            </w:r>
            <w:r w:rsidR="007A2F4D" w:rsidRPr="003A59DB">
              <w:rPr>
                <w:rFonts w:ascii="Times New Roman" w:eastAsia="Times New Roman" w:hAnsi="Times New Roman" w:cs="Times New Roman"/>
                <w:sz w:val="24"/>
                <w:szCs w:val="24"/>
                <w:lang w:val="en-CA" w:eastAsia="nl-BE"/>
              </w:rPr>
              <w:t>New Municipality Act</w:t>
            </w:r>
          </w:p>
        </w:tc>
      </w:tr>
    </w:tbl>
    <w:p w14:paraId="02309066" w14:textId="6B1912B9" w:rsidR="00730BDA" w:rsidRPr="008910F0" w:rsidRDefault="00730BDA" w:rsidP="008910F0">
      <w:pPr>
        <w:rPr>
          <w:rFonts w:ascii="Times New Roman" w:hAnsi="Times New Roman" w:cs="Times New Roman"/>
          <w:sz w:val="24"/>
          <w:szCs w:val="24"/>
          <w:lang w:val="en-US"/>
        </w:rPr>
      </w:pPr>
    </w:p>
    <w:sectPr w:rsidR="00730BDA" w:rsidRPr="008910F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BEBF3" w14:textId="77777777" w:rsidR="00A6547C" w:rsidRDefault="00A6547C" w:rsidP="005F64ED">
      <w:pPr>
        <w:spacing w:after="0" w:line="240" w:lineRule="auto"/>
      </w:pPr>
      <w:r>
        <w:separator/>
      </w:r>
    </w:p>
  </w:endnote>
  <w:endnote w:type="continuationSeparator" w:id="0">
    <w:p w14:paraId="5E8C483B" w14:textId="77777777" w:rsidR="00A6547C" w:rsidRDefault="00A6547C" w:rsidP="005F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692009"/>
      <w:docPartObj>
        <w:docPartGallery w:val="Page Numbers (Bottom of Page)"/>
        <w:docPartUnique/>
      </w:docPartObj>
    </w:sdtPr>
    <w:sdtEndPr>
      <w:rPr>
        <w:noProof/>
      </w:rPr>
    </w:sdtEndPr>
    <w:sdtContent>
      <w:p w14:paraId="7856004A" w14:textId="77777777" w:rsidR="00B402A7" w:rsidRDefault="00B402A7" w:rsidP="00A948C4">
        <w:pPr>
          <w:pStyle w:val="Stopka"/>
          <w:jc w:val="center"/>
        </w:pPr>
        <w:r>
          <w:fldChar w:fldCharType="begin"/>
        </w:r>
        <w:r>
          <w:instrText xml:space="preserve"> PAGE   \* MERGEFORMAT </w:instrText>
        </w:r>
        <w:r>
          <w:fldChar w:fldCharType="separate"/>
        </w:r>
        <w:r w:rsidR="00A3266E">
          <w:rPr>
            <w:noProof/>
          </w:rPr>
          <w:t>1</w:t>
        </w:r>
        <w:r>
          <w:rPr>
            <w:noProof/>
          </w:rPr>
          <w:fldChar w:fldCharType="end"/>
        </w:r>
      </w:p>
    </w:sdtContent>
  </w:sdt>
  <w:p w14:paraId="1655FE23" w14:textId="77777777" w:rsidR="00B402A7" w:rsidRDefault="00B402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C5C34" w14:textId="77777777" w:rsidR="00A6547C" w:rsidRDefault="00A6547C" w:rsidP="005F64ED">
      <w:pPr>
        <w:spacing w:after="0" w:line="240" w:lineRule="auto"/>
      </w:pPr>
      <w:r>
        <w:separator/>
      </w:r>
    </w:p>
  </w:footnote>
  <w:footnote w:type="continuationSeparator" w:id="0">
    <w:p w14:paraId="1F72422E" w14:textId="77777777" w:rsidR="00A6547C" w:rsidRDefault="00A6547C" w:rsidP="005F64ED">
      <w:pPr>
        <w:spacing w:after="0" w:line="240" w:lineRule="auto"/>
      </w:pPr>
      <w:r>
        <w:continuationSeparator/>
      </w:r>
    </w:p>
  </w:footnote>
  <w:footnote w:id="1">
    <w:p w14:paraId="294F5F71" w14:textId="77777777" w:rsidR="00B402A7" w:rsidRPr="00C963FD" w:rsidRDefault="00B402A7" w:rsidP="001B7BAC">
      <w:pPr>
        <w:pStyle w:val="Tekstprzypisudolnego"/>
        <w:jc w:val="both"/>
        <w:rPr>
          <w:lang w:val="en-US"/>
        </w:rPr>
      </w:pPr>
      <w:r w:rsidRPr="00C963FD">
        <w:rPr>
          <w:rStyle w:val="Odwoanieprzypisudolnego"/>
        </w:rPr>
        <w:footnoteRef/>
      </w:r>
      <w:r w:rsidRPr="00C963FD">
        <w:rPr>
          <w:lang w:val="en-US"/>
        </w:rPr>
        <w:t xml:space="preserve"> </w:t>
      </w:r>
      <w:r>
        <w:rPr>
          <w:lang w:val="en-US"/>
        </w:rPr>
        <w:t xml:space="preserve">PhD Candidate in Administrative Law at the </w:t>
      </w:r>
      <w:r w:rsidRPr="00C963FD">
        <w:rPr>
          <w:rFonts w:cs="Arial"/>
          <w:lang w:val="en-US"/>
        </w:rPr>
        <w:t>University of Antwerp</w:t>
      </w:r>
      <w:r>
        <w:rPr>
          <w:rFonts w:cs="Arial"/>
          <w:lang w:val="en-US"/>
        </w:rPr>
        <w:t xml:space="preserve"> (Belgium)</w:t>
      </w:r>
      <w:r w:rsidRPr="00C963FD">
        <w:rPr>
          <w:rFonts w:cs="Arial"/>
          <w:lang w:val="en-US"/>
        </w:rPr>
        <w:t>, Faculty of Law, research group Government &amp; Law.</w:t>
      </w:r>
    </w:p>
  </w:footnote>
  <w:footnote w:id="2">
    <w:p w14:paraId="0ED181B9" w14:textId="29A2EA86" w:rsidR="00B402A7" w:rsidRPr="00DE1CF6" w:rsidRDefault="00B402A7" w:rsidP="001B7BAC">
      <w:pPr>
        <w:pStyle w:val="Tekstprzypisudolnego"/>
        <w:jc w:val="both"/>
      </w:pPr>
      <w:r w:rsidRPr="00C963FD">
        <w:rPr>
          <w:rStyle w:val="Odwoanieprzypisudolnego"/>
        </w:rPr>
        <w:footnoteRef/>
      </w:r>
      <w:r w:rsidRPr="00C963FD">
        <w:rPr>
          <w:lang w:val="en-CA"/>
        </w:rPr>
        <w:t xml:space="preserve"> </w:t>
      </w:r>
      <w:r w:rsidRPr="00C963FD">
        <w:rPr>
          <w:rFonts w:eastAsia="Times New Roman" w:cs="Times New Roman"/>
          <w:lang w:val="en-CA" w:eastAsia="nl-BE"/>
        </w:rPr>
        <w:t xml:space="preserve">This prohibition of place was already known in administrative law, but has been </w:t>
      </w:r>
      <w:r>
        <w:rPr>
          <w:rFonts w:eastAsia="Times New Roman" w:cs="Times New Roman"/>
          <w:lang w:val="en-CA" w:eastAsia="nl-BE"/>
        </w:rPr>
        <w:t>enshrined</w:t>
      </w:r>
      <w:r w:rsidRPr="00C963FD">
        <w:rPr>
          <w:rFonts w:eastAsia="Times New Roman" w:cs="Times New Roman"/>
          <w:lang w:val="en-CA" w:eastAsia="nl-BE"/>
        </w:rPr>
        <w:t xml:space="preserve"> </w:t>
      </w:r>
      <w:r>
        <w:rPr>
          <w:rFonts w:eastAsia="Times New Roman" w:cs="Times New Roman"/>
          <w:lang w:val="en-CA" w:eastAsia="nl-BE"/>
        </w:rPr>
        <w:t xml:space="preserve">generally </w:t>
      </w:r>
      <w:r w:rsidRPr="00C963FD">
        <w:rPr>
          <w:rFonts w:eastAsia="Times New Roman" w:cs="Times New Roman"/>
          <w:lang w:val="en-CA" w:eastAsia="nl-BE"/>
        </w:rPr>
        <w:t xml:space="preserve">in a </w:t>
      </w:r>
      <w:r>
        <w:rPr>
          <w:rFonts w:eastAsia="Times New Roman" w:cs="Times New Roman"/>
          <w:lang w:val="en-CA" w:eastAsia="nl-BE"/>
        </w:rPr>
        <w:t>statutory</w:t>
      </w:r>
      <w:r w:rsidRPr="00C963FD">
        <w:rPr>
          <w:rFonts w:eastAsia="Times New Roman" w:cs="Times New Roman"/>
          <w:lang w:val="en-CA" w:eastAsia="nl-BE"/>
        </w:rPr>
        <w:t xml:space="preserve"> text for the first time</w:t>
      </w:r>
      <w:r>
        <w:rPr>
          <w:rFonts w:eastAsia="Times New Roman" w:cs="Times New Roman"/>
          <w:lang w:val="en-CA" w:eastAsia="nl-BE"/>
        </w:rPr>
        <w:t xml:space="preserve"> now</w:t>
      </w:r>
      <w:r w:rsidRPr="00C963FD">
        <w:rPr>
          <w:rFonts w:eastAsia="Times New Roman" w:cs="Times New Roman"/>
          <w:lang w:val="en-CA" w:eastAsia="nl-BE"/>
        </w:rPr>
        <w:t>.</w:t>
      </w:r>
      <w:r w:rsidRPr="00C963FD">
        <w:rPr>
          <w:lang w:val="en-CA"/>
        </w:rPr>
        <w:t xml:space="preserve"> </w:t>
      </w:r>
      <w:r w:rsidRPr="00DE1CF6">
        <w:t>For a first analysis of this new temporary prohibition of place and its conditions see, e.g.</w:t>
      </w:r>
      <w:r w:rsidRPr="00DE1CF6">
        <w:rPr>
          <w:i/>
        </w:rPr>
        <w:t xml:space="preserve"> </w:t>
      </w:r>
      <w:r w:rsidRPr="008957F6">
        <w:t>Liesbeth Todts, “Het gemeentelijk plaatsverbod: een eerste verkenning en toetsing aan het fundamentele recht op persoonlijke bewegi</w:t>
      </w:r>
      <w:r>
        <w:t xml:space="preserve">ngsvrijheid” (2015) 8 Tijdschrift voor Bestuurswetenschappen en Publiek Recht </w:t>
      </w:r>
      <w:r w:rsidRPr="008957F6">
        <w:t>43</w:t>
      </w:r>
      <w:r>
        <w:t>2</w:t>
      </w:r>
      <w:r w:rsidRPr="00DE1CF6">
        <w:t>.</w:t>
      </w:r>
    </w:p>
  </w:footnote>
  <w:footnote w:id="3">
    <w:p w14:paraId="166A3D3F" w14:textId="333E8BEA" w:rsidR="00B402A7" w:rsidRPr="0072573A" w:rsidRDefault="00B402A7" w:rsidP="001B7BAC">
      <w:pPr>
        <w:pStyle w:val="Tekstprzypisudolnego"/>
        <w:jc w:val="both"/>
        <w:rPr>
          <w:lang w:val="en-US"/>
        </w:rPr>
      </w:pPr>
      <w:r w:rsidRPr="00255956">
        <w:rPr>
          <w:rStyle w:val="Odwoanieprzypisudolnego"/>
        </w:rPr>
        <w:footnoteRef/>
      </w:r>
      <w:r w:rsidRPr="0072573A">
        <w:rPr>
          <w:lang w:val="en-US"/>
        </w:rPr>
        <w:t xml:space="preserve"> </w:t>
      </w:r>
      <w:r w:rsidRPr="0072573A">
        <w:rPr>
          <w:rFonts w:cs="Times New Roman"/>
          <w:lang w:val="en-US"/>
        </w:rPr>
        <w:t>Art.134</w:t>
      </w:r>
      <w:r w:rsidRPr="0072573A">
        <w:rPr>
          <w:rFonts w:cs="Times New Roman"/>
          <w:i/>
          <w:lang w:val="en-US"/>
        </w:rPr>
        <w:t>sexies</w:t>
      </w:r>
      <w:r>
        <w:rPr>
          <w:rFonts w:cs="Times New Roman"/>
          <w:lang w:val="en-US"/>
        </w:rPr>
        <w:t>, §2</w:t>
      </w:r>
      <w:r w:rsidRPr="0072573A">
        <w:rPr>
          <w:rFonts w:cs="Times New Roman"/>
          <w:lang w:val="en-US"/>
        </w:rPr>
        <w:t xml:space="preserve"> </w:t>
      </w:r>
      <w:r>
        <w:rPr>
          <w:rFonts w:cs="Times New Roman"/>
          <w:lang w:val="en-US"/>
        </w:rPr>
        <w:t>NMA</w:t>
      </w:r>
      <w:r w:rsidRPr="0072573A">
        <w:rPr>
          <w:rFonts w:cs="Times New Roman"/>
          <w:lang w:val="en-US"/>
        </w:rPr>
        <w:t>.</w:t>
      </w:r>
    </w:p>
  </w:footnote>
  <w:footnote w:id="4">
    <w:p w14:paraId="04BC65B8" w14:textId="6B8332BE" w:rsidR="00B402A7" w:rsidRPr="00E40F2F" w:rsidRDefault="00B402A7" w:rsidP="001B7BAC">
      <w:pPr>
        <w:pStyle w:val="Tekstprzypisudolnego"/>
        <w:jc w:val="both"/>
        <w:rPr>
          <w:lang w:val="en-CA"/>
        </w:rPr>
      </w:pPr>
      <w:r w:rsidRPr="00E40F2F">
        <w:rPr>
          <w:rStyle w:val="Odwoanieprzypisudolnego"/>
        </w:rPr>
        <w:footnoteRef/>
      </w:r>
      <w:r w:rsidRPr="00E40F2F">
        <w:rPr>
          <w:lang w:val="en-CA"/>
        </w:rPr>
        <w:t xml:space="preserve"> </w:t>
      </w:r>
      <w:r w:rsidRPr="00E40F2F">
        <w:rPr>
          <w:rFonts w:cs="Times New Roman"/>
          <w:lang w:val="en-US"/>
        </w:rPr>
        <w:t>Similar police powers already exis</w:t>
      </w:r>
      <w:r>
        <w:rPr>
          <w:rFonts w:cs="Times New Roman"/>
          <w:lang w:val="en-US"/>
        </w:rPr>
        <w:t>ted under the 2003 Anti-social B</w:t>
      </w:r>
      <w:r w:rsidRPr="00E40F2F">
        <w:rPr>
          <w:rFonts w:cs="Times New Roman"/>
          <w:lang w:val="en-US"/>
        </w:rPr>
        <w:t>ehavio</w:t>
      </w:r>
      <w:r>
        <w:rPr>
          <w:rFonts w:cs="Times New Roman"/>
          <w:lang w:val="en-US"/>
        </w:rPr>
        <w:t>u</w:t>
      </w:r>
      <w:r w:rsidRPr="00E40F2F">
        <w:rPr>
          <w:rFonts w:cs="Times New Roman"/>
          <w:lang w:val="en-US"/>
        </w:rPr>
        <w:t>r Act (Part 4)</w:t>
      </w:r>
      <w:r>
        <w:rPr>
          <w:rFonts w:cs="Times New Roman"/>
          <w:lang w:val="en-US"/>
        </w:rPr>
        <w:t>. However,</w:t>
      </w:r>
      <w:r w:rsidRPr="00E40F2F">
        <w:rPr>
          <w:rFonts w:cs="Times New Roman"/>
          <w:lang w:val="en-US"/>
        </w:rPr>
        <w:t xml:space="preserve"> the conditions of the new direction </w:t>
      </w:r>
      <w:r>
        <w:rPr>
          <w:rFonts w:cs="Times New Roman"/>
          <w:lang w:val="en-US"/>
        </w:rPr>
        <w:t xml:space="preserve">to leave </w:t>
      </w:r>
      <w:r w:rsidRPr="00E40F2F">
        <w:rPr>
          <w:rFonts w:cs="Times New Roman"/>
          <w:lang w:val="en-US"/>
        </w:rPr>
        <w:t>are even less stringent,</w:t>
      </w:r>
      <w:r>
        <w:rPr>
          <w:rFonts w:cs="Times New Roman"/>
          <w:lang w:val="en-US"/>
        </w:rPr>
        <w:t xml:space="preserve"> thus</w:t>
      </w:r>
      <w:r w:rsidRPr="00E40F2F">
        <w:rPr>
          <w:rFonts w:cs="Times New Roman"/>
          <w:lang w:val="en-US"/>
        </w:rPr>
        <w:t xml:space="preserve"> implying increased police discretion. For a brief comparison </w:t>
      </w:r>
      <w:r>
        <w:rPr>
          <w:rFonts w:cs="Times New Roman"/>
          <w:lang w:val="en-US"/>
        </w:rPr>
        <w:t>of</w:t>
      </w:r>
      <w:r w:rsidRPr="00E40F2F">
        <w:rPr>
          <w:rFonts w:cs="Times New Roman"/>
          <w:lang w:val="en-US"/>
        </w:rPr>
        <w:t xml:space="preserve"> the old and </w:t>
      </w:r>
      <w:r>
        <w:rPr>
          <w:rFonts w:cs="Times New Roman"/>
          <w:lang w:val="en-US"/>
        </w:rPr>
        <w:t xml:space="preserve">the </w:t>
      </w:r>
      <w:r w:rsidRPr="00E40F2F">
        <w:rPr>
          <w:rFonts w:cs="Times New Roman"/>
          <w:lang w:val="en-US"/>
        </w:rPr>
        <w:t xml:space="preserve">new dispersal powers see, e.g. </w:t>
      </w:r>
      <w:r>
        <w:rPr>
          <w:rFonts w:cs="Arial"/>
          <w:shd w:val="clear" w:color="auto" w:fill="FFFFFF"/>
          <w:lang w:val="en-US"/>
        </w:rPr>
        <w:t xml:space="preserve">Andrew </w:t>
      </w:r>
      <w:r w:rsidRPr="00F6075D">
        <w:rPr>
          <w:rFonts w:cs="Arial"/>
          <w:shd w:val="clear" w:color="auto" w:fill="FFFFFF"/>
          <w:lang w:val="en-US"/>
        </w:rPr>
        <w:t xml:space="preserve">Millie, </w:t>
      </w:r>
      <w:r>
        <w:rPr>
          <w:rFonts w:cs="Arial"/>
          <w:shd w:val="clear" w:color="auto" w:fill="FFFFFF"/>
          <w:lang w:val="en-US"/>
        </w:rPr>
        <w:t>“</w:t>
      </w:r>
      <w:r w:rsidRPr="00F6075D">
        <w:rPr>
          <w:rFonts w:cs="Arial"/>
          <w:shd w:val="clear" w:color="auto" w:fill="FFFFFF"/>
          <w:lang w:val="en-US"/>
        </w:rPr>
        <w:t xml:space="preserve">Replacing the ASBO: An opportunity to stem the flow into the Criminal Justice </w:t>
      </w:r>
      <w:r w:rsidRPr="003A4EB4">
        <w:rPr>
          <w:rFonts w:cs="Arial"/>
          <w:shd w:val="clear" w:color="auto" w:fill="FFFFFF"/>
          <w:lang w:val="en-US"/>
        </w:rPr>
        <w:t>System” in Anita Dockley and Ian Loader (eds)</w:t>
      </w:r>
      <w:r w:rsidRPr="003A4EB4">
        <w:rPr>
          <w:rFonts w:cs="Arial"/>
          <w:lang w:val="en-US"/>
        </w:rPr>
        <w:t> </w:t>
      </w:r>
      <w:r w:rsidRPr="003A4EB4">
        <w:rPr>
          <w:rFonts w:cs="Arial"/>
          <w:i/>
          <w:iCs/>
          <w:lang w:val="en-US"/>
        </w:rPr>
        <w:t>The Penal Landscape: The Howard League Guide to</w:t>
      </w:r>
      <w:r w:rsidRPr="00F6075D">
        <w:rPr>
          <w:rFonts w:cs="Arial"/>
          <w:i/>
          <w:iCs/>
          <w:lang w:val="en-US"/>
        </w:rPr>
        <w:t xml:space="preserve"> Criminal Justice in England and Wales</w:t>
      </w:r>
      <w:r>
        <w:rPr>
          <w:rFonts w:cs="Arial"/>
          <w:i/>
          <w:iCs/>
          <w:lang w:val="en-US"/>
        </w:rPr>
        <w:t xml:space="preserve"> </w:t>
      </w:r>
      <w:r>
        <w:rPr>
          <w:rFonts w:cs="Arial"/>
          <w:iCs/>
          <w:lang w:val="en-US"/>
        </w:rPr>
        <w:t>(R</w:t>
      </w:r>
      <w:r w:rsidRPr="00F6075D">
        <w:rPr>
          <w:rFonts w:cs="Arial"/>
          <w:shd w:val="clear" w:color="auto" w:fill="FFFFFF"/>
          <w:lang w:val="en-US"/>
        </w:rPr>
        <w:t>outledge</w:t>
      </w:r>
      <w:r>
        <w:rPr>
          <w:rFonts w:cs="Arial"/>
          <w:shd w:val="clear" w:color="auto" w:fill="FFFFFF"/>
          <w:lang w:val="en-US"/>
        </w:rPr>
        <w:t>, 2013), pp.79-81</w:t>
      </w:r>
      <w:r w:rsidRPr="00E40F2F">
        <w:rPr>
          <w:rFonts w:cs="Times New Roman"/>
          <w:lang w:val="en-US"/>
        </w:rPr>
        <w:t>.</w:t>
      </w:r>
    </w:p>
  </w:footnote>
  <w:footnote w:id="5">
    <w:p w14:paraId="4A96F06D" w14:textId="77777777" w:rsidR="00B402A7" w:rsidRPr="007203EA" w:rsidRDefault="00B402A7" w:rsidP="001B7BAC">
      <w:pPr>
        <w:pStyle w:val="Tekstprzypisudolnego"/>
        <w:jc w:val="both"/>
        <w:rPr>
          <w:lang w:val="en-CA"/>
        </w:rPr>
      </w:pPr>
      <w:r w:rsidRPr="00255956">
        <w:rPr>
          <w:rStyle w:val="Odwoanieprzypisudolnego"/>
        </w:rPr>
        <w:footnoteRef/>
      </w:r>
      <w:r w:rsidRPr="007203EA">
        <w:rPr>
          <w:lang w:val="en-CA"/>
        </w:rPr>
        <w:t xml:space="preserve"> </w:t>
      </w:r>
      <w:r w:rsidRPr="007203EA">
        <w:rPr>
          <w:rFonts w:cs="Times New Roman"/>
          <w:lang w:val="en-CA"/>
        </w:rPr>
        <w:t>S.35(1) ACPA.</w:t>
      </w:r>
    </w:p>
  </w:footnote>
  <w:footnote w:id="6">
    <w:p w14:paraId="2701F429" w14:textId="208E4520" w:rsidR="00B402A7" w:rsidRPr="00444F56" w:rsidRDefault="00B402A7" w:rsidP="001B7BAC">
      <w:pPr>
        <w:pStyle w:val="Bezodstpw"/>
        <w:jc w:val="both"/>
        <w:rPr>
          <w:sz w:val="20"/>
          <w:szCs w:val="20"/>
          <w:lang w:val="en-CA" w:eastAsia="en-US"/>
        </w:rPr>
      </w:pPr>
      <w:r w:rsidRPr="004B304C">
        <w:rPr>
          <w:rStyle w:val="Odwoanieprzypisudolnego"/>
          <w:sz w:val="20"/>
          <w:szCs w:val="20"/>
        </w:rPr>
        <w:footnoteRef/>
      </w:r>
      <w:r w:rsidRPr="004B304C">
        <w:rPr>
          <w:sz w:val="20"/>
          <w:szCs w:val="20"/>
          <w:lang w:val="en-CA"/>
        </w:rPr>
        <w:t xml:space="preserve"> Art.24 w</w:t>
      </w:r>
      <w:r w:rsidRPr="004B304C">
        <w:rPr>
          <w:sz w:val="20"/>
          <w:szCs w:val="20"/>
          <w:lang w:val="en-CA" w:eastAsia="en-US"/>
        </w:rPr>
        <w:t xml:space="preserve">et 21 december 1998 betreffende de veiligheid bij voetbalwedstrijden, </w:t>
      </w:r>
      <w:r w:rsidRPr="004B304C">
        <w:rPr>
          <w:i/>
          <w:sz w:val="20"/>
          <w:szCs w:val="20"/>
          <w:lang w:val="en-CA" w:eastAsia="en-US"/>
        </w:rPr>
        <w:t>BS</w:t>
      </w:r>
      <w:r w:rsidRPr="004B304C">
        <w:rPr>
          <w:sz w:val="20"/>
          <w:szCs w:val="20"/>
          <w:lang w:val="en-CA" w:eastAsia="en-US"/>
        </w:rPr>
        <w:t xml:space="preserve"> 3 februari 1999 and </w:t>
      </w:r>
      <w:r w:rsidRPr="004B304C">
        <w:rPr>
          <w:sz w:val="20"/>
          <w:szCs w:val="20"/>
          <w:lang w:val="en-CA"/>
        </w:rPr>
        <w:t xml:space="preserve">Art.14B Football Spectators Act </w:t>
      </w:r>
      <w:r w:rsidRPr="004462B9">
        <w:rPr>
          <w:sz w:val="20"/>
          <w:szCs w:val="20"/>
          <w:lang w:val="en-CA"/>
        </w:rPr>
        <w:t>1989 (</w:t>
      </w:r>
      <w:r w:rsidRPr="004462B9">
        <w:rPr>
          <w:rFonts w:cs="Times New Roman"/>
          <w:sz w:val="20"/>
          <w:szCs w:val="20"/>
          <w:lang w:val="en-CA"/>
        </w:rPr>
        <w:t>the</w:t>
      </w:r>
      <w:r>
        <w:rPr>
          <w:rFonts w:cs="Times New Roman"/>
          <w:sz w:val="20"/>
          <w:szCs w:val="20"/>
          <w:lang w:val="en-CA"/>
        </w:rPr>
        <w:t xml:space="preserve"> so-called f</w:t>
      </w:r>
      <w:r w:rsidRPr="004462B9">
        <w:rPr>
          <w:rFonts w:cs="Times New Roman"/>
          <w:sz w:val="20"/>
          <w:szCs w:val="20"/>
          <w:lang w:val="en-CA"/>
        </w:rPr>
        <w:t xml:space="preserve">ootball </w:t>
      </w:r>
      <w:r>
        <w:rPr>
          <w:rFonts w:cs="Times New Roman"/>
          <w:sz w:val="20"/>
          <w:szCs w:val="20"/>
          <w:lang w:val="en-CA"/>
        </w:rPr>
        <w:t>banning o</w:t>
      </w:r>
      <w:r w:rsidRPr="004462B9">
        <w:rPr>
          <w:rFonts w:cs="Times New Roman"/>
          <w:sz w:val="20"/>
          <w:szCs w:val="20"/>
          <w:lang w:val="en-CA"/>
        </w:rPr>
        <w:t xml:space="preserve">rder on </w:t>
      </w:r>
      <w:r>
        <w:rPr>
          <w:rFonts w:cs="Times New Roman"/>
          <w:sz w:val="20"/>
          <w:szCs w:val="20"/>
          <w:lang w:val="en-CA"/>
        </w:rPr>
        <w:t>c</w:t>
      </w:r>
      <w:r w:rsidRPr="004462B9">
        <w:rPr>
          <w:rFonts w:cs="Times New Roman"/>
          <w:sz w:val="20"/>
          <w:szCs w:val="20"/>
          <w:lang w:val="en-CA"/>
        </w:rPr>
        <w:t>omplaint</w:t>
      </w:r>
      <w:r w:rsidRPr="004B304C">
        <w:rPr>
          <w:rFonts w:cs="Times New Roman"/>
          <w:sz w:val="20"/>
          <w:szCs w:val="20"/>
          <w:lang w:val="en-CA"/>
        </w:rPr>
        <w:t>)</w:t>
      </w:r>
      <w:r>
        <w:rPr>
          <w:sz w:val="20"/>
          <w:szCs w:val="20"/>
          <w:lang w:val="en-CA" w:eastAsia="en-US"/>
        </w:rPr>
        <w:t>, resp.</w:t>
      </w:r>
    </w:p>
  </w:footnote>
  <w:footnote w:id="7">
    <w:p w14:paraId="11009374" w14:textId="77777777" w:rsidR="00B402A7" w:rsidRPr="00175657" w:rsidRDefault="00B402A7" w:rsidP="001B7BAC">
      <w:pPr>
        <w:pStyle w:val="Tekstprzypisudolnego"/>
        <w:jc w:val="both"/>
      </w:pPr>
      <w:r>
        <w:rPr>
          <w:rStyle w:val="Odwoanieprzypisudolnego"/>
        </w:rPr>
        <w:footnoteRef/>
      </w:r>
      <w:r w:rsidRPr="00A753BD">
        <w:t xml:space="preserve"> </w:t>
      </w:r>
      <w:r w:rsidRPr="004A7A5F">
        <w:rPr>
          <w:rStyle w:val="highlight"/>
        </w:rPr>
        <w:t xml:space="preserve">Decreet </w:t>
      </w:r>
      <w:r w:rsidRPr="004A7A5F">
        <w:t xml:space="preserve">8 mei 2009 </w:t>
      </w:r>
      <w:r w:rsidRPr="004A7A5F">
        <w:rPr>
          <w:rStyle w:val="highlight"/>
        </w:rPr>
        <w:t>betreffende toegangsverbod tot voertuigen van de VVM</w:t>
      </w:r>
      <w:r w:rsidRPr="004A7A5F">
        <w:t xml:space="preserve">, </w:t>
      </w:r>
      <w:r w:rsidRPr="004A7A5F">
        <w:rPr>
          <w:i/>
          <w:iCs/>
        </w:rPr>
        <w:t xml:space="preserve">BS </w:t>
      </w:r>
      <w:r w:rsidRPr="004A7A5F">
        <w:rPr>
          <w:iCs/>
        </w:rPr>
        <w:t>6 juli 2009</w:t>
      </w:r>
      <w:r>
        <w:rPr>
          <w:iCs/>
        </w:rPr>
        <w:t xml:space="preserve"> and</w:t>
      </w:r>
      <w:r w:rsidRPr="00175657">
        <w:t xml:space="preserve"> </w:t>
      </w:r>
      <w:r>
        <w:t>Part 1 ACPA, resp.</w:t>
      </w:r>
    </w:p>
  </w:footnote>
  <w:footnote w:id="8">
    <w:p w14:paraId="251A355B" w14:textId="7E8A77AD" w:rsidR="00B402A7" w:rsidRPr="004251BF" w:rsidRDefault="00B402A7" w:rsidP="001B7BAC">
      <w:pPr>
        <w:pStyle w:val="Tekstprzypisudolnego"/>
        <w:jc w:val="both"/>
        <w:rPr>
          <w:lang w:val="en-CA"/>
        </w:rPr>
      </w:pPr>
      <w:r>
        <w:rPr>
          <w:rStyle w:val="Odwoanieprzypisudolnego"/>
        </w:rPr>
        <w:footnoteRef/>
      </w:r>
      <w:r w:rsidRPr="004251BF">
        <w:rPr>
          <w:lang w:val="en-CA"/>
        </w:rPr>
        <w:t xml:space="preserve"> </w:t>
      </w:r>
      <w:r w:rsidRPr="004251BF">
        <w:rPr>
          <w:rFonts w:cs="Times New Roman"/>
          <w:lang w:val="en-CA"/>
        </w:rPr>
        <w:t>It is important to point out that, in the United Kingdom, the maintenance of public order is primarily a competence of judges and not the (local) executive, which is – as mentioned above – the case in Belgium. However, this does not mean that judges in Belgium cannot impose public order techniques at all. For instance, in Belgium, a criminal judge can impose a judicial football stadium ban for football-related violence</w:t>
      </w:r>
      <w:r>
        <w:rPr>
          <w:rFonts w:cs="Times New Roman"/>
          <w:lang w:val="en-CA"/>
        </w:rPr>
        <w:t xml:space="preserve">. </w:t>
      </w:r>
      <w:r w:rsidRPr="004251BF">
        <w:rPr>
          <w:rFonts w:cs="Times New Roman"/>
          <w:lang w:val="en-CA"/>
        </w:rPr>
        <w:t>Conversely, in the United Kingdom, public order techniques can also be imposed by the executive. The above-mentioned direction to leave, for example, is imposed by the executive, more specifically by a constable in uniform</w:t>
      </w:r>
      <w:r>
        <w:rPr>
          <w:rFonts w:cs="Times New Roman"/>
          <w:lang w:val="en-CA"/>
        </w:rPr>
        <w:t>.</w:t>
      </w:r>
      <w:r w:rsidRPr="004251BF">
        <w:rPr>
          <w:lang w:val="en-CA"/>
        </w:rPr>
        <w:t xml:space="preserve"> </w:t>
      </w:r>
    </w:p>
  </w:footnote>
  <w:footnote w:id="9">
    <w:p w14:paraId="4C2B9E1F" w14:textId="758E534B" w:rsidR="00B402A7" w:rsidRPr="001F5CF2" w:rsidRDefault="00B402A7" w:rsidP="001B7BAC">
      <w:pPr>
        <w:pStyle w:val="Tekstprzypisudolnego"/>
        <w:jc w:val="both"/>
      </w:pPr>
      <w:r w:rsidRPr="0049693B">
        <w:rPr>
          <w:rStyle w:val="Odwoanieprzypisudolnego"/>
        </w:rPr>
        <w:footnoteRef/>
      </w:r>
      <w:r w:rsidRPr="001F5CF2">
        <w:t xml:space="preserve"> </w:t>
      </w:r>
      <w:r w:rsidRPr="001F5CF2">
        <w:rPr>
          <w:rFonts w:cs="Arial"/>
          <w:i/>
          <w:shd w:val="clear" w:color="auto" w:fill="FFFFFF"/>
        </w:rPr>
        <w:t xml:space="preserve">Hand. </w:t>
      </w:r>
      <w:r w:rsidRPr="001F5CF2">
        <w:rPr>
          <w:rFonts w:cs="Arial"/>
          <w:shd w:val="clear" w:color="auto" w:fill="FFFFFF"/>
        </w:rPr>
        <w:t xml:space="preserve">Kamer 2015-16, </w:t>
      </w:r>
      <w:r w:rsidRPr="001F5CF2">
        <w:t>December 2, 2015, No.7807, pp.26-27.</w:t>
      </w:r>
    </w:p>
  </w:footnote>
  <w:footnote w:id="10">
    <w:p w14:paraId="22C115BC" w14:textId="31E84386" w:rsidR="00B402A7" w:rsidRPr="008E4582" w:rsidRDefault="00B402A7" w:rsidP="001B7BAC">
      <w:pPr>
        <w:pStyle w:val="Tekstprzypisudolnego"/>
        <w:jc w:val="both"/>
        <w:rPr>
          <w:lang w:val="en-US"/>
        </w:rPr>
      </w:pPr>
      <w:r w:rsidRPr="008E4582">
        <w:rPr>
          <w:rStyle w:val="Odwoanieprzypisudolnego"/>
        </w:rPr>
        <w:footnoteRef/>
      </w:r>
      <w:r w:rsidRPr="008E4582">
        <w:rPr>
          <w:lang w:val="en-US"/>
        </w:rPr>
        <w:t xml:space="preserve"> The orders are called </w:t>
      </w:r>
      <w:r w:rsidRPr="008E4582">
        <w:rPr>
          <w:rFonts w:cs="Times New Roman"/>
          <w:color w:val="000000"/>
          <w:lang w:val="en-CA"/>
        </w:rPr>
        <w:t xml:space="preserve">‘non-derogating’, since they </w:t>
      </w:r>
      <w:r>
        <w:rPr>
          <w:rFonts w:cs="Times New Roman"/>
          <w:color w:val="000000"/>
          <w:lang w:val="en-CA"/>
        </w:rPr>
        <w:t xml:space="preserve">do not derogate from Article 5 ECHR: they </w:t>
      </w:r>
      <w:r w:rsidRPr="008E4582">
        <w:rPr>
          <w:rFonts w:cs="Times New Roman"/>
          <w:color w:val="000000"/>
          <w:lang w:val="en-CA"/>
        </w:rPr>
        <w:t xml:space="preserve">merely restrict the individual in his or her free movement </w:t>
      </w:r>
      <w:r>
        <w:rPr>
          <w:rFonts w:cs="Times New Roman"/>
          <w:color w:val="000000"/>
          <w:lang w:val="en-CA"/>
        </w:rPr>
        <w:t>instead of</w:t>
      </w:r>
      <w:r w:rsidRPr="008E4582">
        <w:rPr>
          <w:rFonts w:cs="Times New Roman"/>
          <w:color w:val="000000"/>
          <w:lang w:val="en-CA"/>
        </w:rPr>
        <w:t xml:space="preserve"> depriving the individual of all liberty</w:t>
      </w:r>
      <w:r>
        <w:rPr>
          <w:rFonts w:cs="Times New Roman"/>
          <w:color w:val="000000"/>
          <w:lang w:val="en-CA"/>
        </w:rPr>
        <w:t xml:space="preserve"> (</w:t>
      </w:r>
      <w:r w:rsidRPr="006A7592">
        <w:rPr>
          <w:rFonts w:cs="Times New Roman"/>
          <w:color w:val="000000"/>
          <w:lang w:val="en-CA"/>
        </w:rPr>
        <w:t>see</w:t>
      </w:r>
      <w:r>
        <w:rPr>
          <w:rFonts w:cs="Times New Roman"/>
          <w:color w:val="000000"/>
          <w:lang w:val="en-CA"/>
        </w:rPr>
        <w:t xml:space="preserve"> David Feldman, “Deprivation of liberty in anti-terrorism law” (2008) 67(1) C.L.J. 4, 4)</w:t>
      </w:r>
      <w:r w:rsidRPr="008E4582">
        <w:rPr>
          <w:rFonts w:cs="Times New Roman"/>
          <w:color w:val="000000"/>
          <w:lang w:val="en-CA"/>
        </w:rPr>
        <w:t>.</w:t>
      </w:r>
    </w:p>
  </w:footnote>
  <w:footnote w:id="11">
    <w:p w14:paraId="53A3E9D1" w14:textId="7EED1821" w:rsidR="00B402A7" w:rsidRPr="008E4582" w:rsidRDefault="00B402A7" w:rsidP="001B7BAC">
      <w:pPr>
        <w:pStyle w:val="Tekstprzypisudolnego"/>
        <w:jc w:val="both"/>
        <w:rPr>
          <w:lang w:val="en-US"/>
        </w:rPr>
      </w:pPr>
      <w:r w:rsidRPr="008E4582">
        <w:rPr>
          <w:rStyle w:val="Odwoanieprzypisudolnego"/>
        </w:rPr>
        <w:footnoteRef/>
      </w:r>
      <w:r w:rsidRPr="008E4582">
        <w:rPr>
          <w:lang w:val="en-US"/>
        </w:rPr>
        <w:t xml:space="preserve"> </w:t>
      </w:r>
      <w:r w:rsidRPr="008E4582">
        <w:rPr>
          <w:lang w:val="en-CA"/>
        </w:rPr>
        <w:t xml:space="preserve">Sections 2 and 3 (1)(a) of the Prevention of Terrorism Act 2005, as </w:t>
      </w:r>
      <w:r>
        <w:rPr>
          <w:rFonts w:cs="Arial"/>
          <w:shd w:val="clear" w:color="auto" w:fill="FFFFFF"/>
          <w:lang w:val="en-US"/>
        </w:rPr>
        <w:t>repealed in 2011 by S</w:t>
      </w:r>
      <w:r w:rsidRPr="008E4582">
        <w:rPr>
          <w:rFonts w:cs="Arial"/>
          <w:shd w:val="clear" w:color="auto" w:fill="FFFFFF"/>
          <w:lang w:val="en-US"/>
        </w:rPr>
        <w:t>ection 1 of the</w:t>
      </w:r>
      <w:r w:rsidRPr="008E4582">
        <w:rPr>
          <w:rStyle w:val="apple-converted-space"/>
          <w:rFonts w:cs="Arial"/>
          <w:shd w:val="clear" w:color="auto" w:fill="FFFFFF"/>
          <w:lang w:val="en-US"/>
        </w:rPr>
        <w:t> </w:t>
      </w:r>
      <w:hyperlink r:id="rId1" w:tooltip="Terrorism Prevention and Investigation Measures Act 2011" w:history="1">
        <w:r w:rsidRPr="008E4582">
          <w:rPr>
            <w:rStyle w:val="Hipercze"/>
            <w:rFonts w:cs="Arial"/>
            <w:color w:val="auto"/>
            <w:u w:val="none"/>
            <w:shd w:val="clear" w:color="auto" w:fill="FFFFFF"/>
            <w:lang w:val="en-US"/>
          </w:rPr>
          <w:t>Terrorism Prevention and Investigation Measures Act 2011</w:t>
        </w:r>
      </w:hyperlink>
      <w:r w:rsidRPr="008E4582">
        <w:rPr>
          <w:lang w:val="en-US"/>
        </w:rPr>
        <w:t>.</w:t>
      </w:r>
    </w:p>
  </w:footnote>
  <w:footnote w:id="12">
    <w:p w14:paraId="3199C096" w14:textId="686338C2" w:rsidR="00B402A7" w:rsidRPr="005C253F" w:rsidRDefault="00B402A7" w:rsidP="001B7BAC">
      <w:pPr>
        <w:pStyle w:val="Tekstprzypisudolnego"/>
        <w:jc w:val="both"/>
        <w:rPr>
          <w:lang w:val="en-US"/>
        </w:rPr>
      </w:pPr>
      <w:r>
        <w:rPr>
          <w:rStyle w:val="Odwoanieprzypisudolnego"/>
        </w:rPr>
        <w:footnoteRef/>
      </w:r>
      <w:r w:rsidRPr="005C253F">
        <w:rPr>
          <w:lang w:val="en-US"/>
        </w:rPr>
        <w:t xml:space="preserve"> </w:t>
      </w:r>
      <w:r>
        <w:rPr>
          <w:lang w:val="en-US"/>
        </w:rPr>
        <w:t xml:space="preserve">Section 3(3); Schedule 1, Part 1, Section 3 and Section 29(1), resp. of the </w:t>
      </w:r>
      <w:hyperlink r:id="rId2" w:tooltip="Terrorism Prevention and Investigation Measures Act 2011" w:history="1">
        <w:r w:rsidRPr="008E4582">
          <w:rPr>
            <w:rStyle w:val="Hipercze"/>
            <w:rFonts w:cs="Arial"/>
            <w:color w:val="auto"/>
            <w:u w:val="none"/>
            <w:shd w:val="clear" w:color="auto" w:fill="FFFFFF"/>
            <w:lang w:val="en-US"/>
          </w:rPr>
          <w:t>Terrorism Prevention and Investigation Measures Act 2011</w:t>
        </w:r>
      </w:hyperlink>
      <w:r w:rsidRPr="005C253F">
        <w:rPr>
          <w:lang w:val="en-US"/>
        </w:rPr>
        <w:t>.</w:t>
      </w:r>
    </w:p>
  </w:footnote>
  <w:footnote w:id="13">
    <w:p w14:paraId="03402B07" w14:textId="780B0966" w:rsidR="00B402A7" w:rsidRPr="008E4582" w:rsidRDefault="00B402A7" w:rsidP="001B7BAC">
      <w:pPr>
        <w:pStyle w:val="Tekstprzypisudolnego"/>
        <w:jc w:val="both"/>
        <w:rPr>
          <w:lang w:val="en-US"/>
        </w:rPr>
      </w:pPr>
      <w:r w:rsidRPr="008E4582">
        <w:rPr>
          <w:rStyle w:val="Odwoanieprzypisudolnego"/>
        </w:rPr>
        <w:footnoteRef/>
      </w:r>
      <w:r>
        <w:rPr>
          <w:lang w:val="en-US"/>
        </w:rPr>
        <w:t xml:space="preserve"> See also A</w:t>
      </w:r>
      <w:r w:rsidRPr="008E4582">
        <w:rPr>
          <w:lang w:val="en-US"/>
        </w:rPr>
        <w:t xml:space="preserve">rt.13 Universal Declaration of Human Rights and </w:t>
      </w:r>
      <w:r>
        <w:rPr>
          <w:lang w:val="en-US"/>
        </w:rPr>
        <w:t>A</w:t>
      </w:r>
      <w:r w:rsidRPr="008E4582">
        <w:rPr>
          <w:lang w:val="en-US"/>
        </w:rPr>
        <w:t xml:space="preserve">rt.12 International Covenant </w:t>
      </w:r>
      <w:r>
        <w:rPr>
          <w:lang w:val="en-US"/>
        </w:rPr>
        <w:t>on Civil and Political Rights</w:t>
      </w:r>
      <w:r w:rsidRPr="008E4582">
        <w:rPr>
          <w:lang w:val="en-US"/>
        </w:rPr>
        <w:t>.</w:t>
      </w:r>
    </w:p>
  </w:footnote>
  <w:footnote w:id="14">
    <w:p w14:paraId="5A482C56" w14:textId="1F7C4CEE" w:rsidR="00B402A7" w:rsidRPr="006B31CF" w:rsidRDefault="00B402A7" w:rsidP="001B7BAC">
      <w:pPr>
        <w:pStyle w:val="Tekstprzypisudolnego"/>
        <w:jc w:val="both"/>
        <w:rPr>
          <w:lang w:val="en-CA"/>
        </w:rPr>
      </w:pPr>
      <w:r>
        <w:rPr>
          <w:rStyle w:val="Odwoanieprzypisudolnego"/>
        </w:rPr>
        <w:footnoteRef/>
      </w:r>
      <w:r w:rsidRPr="006B31CF">
        <w:rPr>
          <w:lang w:val="en-CA"/>
        </w:rPr>
        <w:t xml:space="preserve"> </w:t>
      </w:r>
      <w:r>
        <w:rPr>
          <w:lang w:val="en-CA"/>
        </w:rPr>
        <w:t xml:space="preserve">This contribution only discusses </w:t>
      </w:r>
      <w:r>
        <w:rPr>
          <w:lang w:val="en-US"/>
        </w:rPr>
        <w:t xml:space="preserve">measures restricting the right to freedom of movement </w:t>
      </w:r>
      <w:r w:rsidRPr="00C43728">
        <w:rPr>
          <w:lang w:val="en-US"/>
        </w:rPr>
        <w:t>within</w:t>
      </w:r>
      <w:r>
        <w:rPr>
          <w:lang w:val="en-US"/>
        </w:rPr>
        <w:t xml:space="preserve"> the meaning of Art.2 FAP and </w:t>
      </w:r>
      <w:r>
        <w:rPr>
          <w:rFonts w:cs="Times New Roman"/>
          <w:lang w:val="en-CA"/>
        </w:rPr>
        <w:t>not</w:t>
      </w:r>
      <w:r w:rsidRPr="00397331">
        <w:rPr>
          <w:rFonts w:cs="Times New Roman"/>
          <w:lang w:val="en-CA"/>
        </w:rPr>
        <w:t xml:space="preserve"> </w:t>
      </w:r>
      <w:r>
        <w:rPr>
          <w:rFonts w:cs="Times New Roman"/>
          <w:lang w:val="en-CA"/>
        </w:rPr>
        <w:t xml:space="preserve">the right to </w:t>
      </w:r>
      <w:r w:rsidRPr="00397331">
        <w:rPr>
          <w:rFonts w:cs="Times New Roman"/>
          <w:lang w:val="en-CA"/>
        </w:rPr>
        <w:t xml:space="preserve">free movement </w:t>
      </w:r>
      <w:r>
        <w:rPr>
          <w:rFonts w:cs="Times New Roman"/>
          <w:lang w:val="en-CA"/>
        </w:rPr>
        <w:t>under EU law n</w:t>
      </w:r>
      <w:r w:rsidRPr="00397331">
        <w:rPr>
          <w:rFonts w:cs="Times New Roman"/>
          <w:lang w:val="en-CA"/>
        </w:rPr>
        <w:t xml:space="preserve">or </w:t>
      </w:r>
      <w:r>
        <w:rPr>
          <w:rFonts w:cs="Times New Roman"/>
          <w:lang w:val="en-CA"/>
        </w:rPr>
        <w:t xml:space="preserve">the right to </w:t>
      </w:r>
      <w:r w:rsidRPr="00397331">
        <w:rPr>
          <w:rFonts w:cs="Times New Roman"/>
          <w:lang w:val="en-CA"/>
        </w:rPr>
        <w:t>free movement of aliens</w:t>
      </w:r>
      <w:r>
        <w:rPr>
          <w:rFonts w:cs="Times New Roman"/>
          <w:lang w:val="en-CA"/>
        </w:rPr>
        <w:t xml:space="preserve">. The latter two refer to the specific rights </w:t>
      </w:r>
      <w:r w:rsidRPr="00397331">
        <w:rPr>
          <w:rFonts w:cs="Times New Roman"/>
          <w:lang w:val="en-CA"/>
        </w:rPr>
        <w:t xml:space="preserve">relating to </w:t>
      </w:r>
      <w:r>
        <w:rPr>
          <w:rFonts w:cs="Times New Roman"/>
          <w:lang w:val="en-CA"/>
        </w:rPr>
        <w:t>the EU free movement principles and m</w:t>
      </w:r>
      <w:r w:rsidRPr="00397331">
        <w:rPr>
          <w:rFonts w:cs="Times New Roman"/>
          <w:lang w:val="en-CA"/>
        </w:rPr>
        <w:t xml:space="preserve">igration law, </w:t>
      </w:r>
      <w:r>
        <w:rPr>
          <w:rFonts w:cs="Times New Roman"/>
          <w:lang w:val="en-CA"/>
        </w:rPr>
        <w:t xml:space="preserve">resp., both </w:t>
      </w:r>
      <w:r w:rsidRPr="00397331">
        <w:rPr>
          <w:rFonts w:cs="Times New Roman"/>
          <w:lang w:val="en-CA"/>
        </w:rPr>
        <w:t xml:space="preserve">falling outside the scope of </w:t>
      </w:r>
      <w:r>
        <w:rPr>
          <w:rFonts w:cs="Times New Roman"/>
          <w:lang w:val="en-CA"/>
        </w:rPr>
        <w:t>the present</w:t>
      </w:r>
      <w:r w:rsidRPr="00397331">
        <w:rPr>
          <w:rFonts w:cs="Times New Roman"/>
          <w:lang w:val="en-CA"/>
        </w:rPr>
        <w:t xml:space="preserve"> contribution</w:t>
      </w:r>
      <w:r>
        <w:rPr>
          <w:rFonts w:cs="Times New Roman"/>
          <w:lang w:val="en-CA"/>
        </w:rPr>
        <w:t>.</w:t>
      </w:r>
    </w:p>
  </w:footnote>
  <w:footnote w:id="15">
    <w:p w14:paraId="193EB790" w14:textId="77777777" w:rsidR="00B402A7" w:rsidRDefault="00B402A7" w:rsidP="00685C24">
      <w:pPr>
        <w:pStyle w:val="Tekstprzypisudolnego"/>
      </w:pPr>
      <w:r>
        <w:rPr>
          <w:rStyle w:val="Odwoanieprzypisudolnego"/>
        </w:rPr>
        <w:footnoteRef/>
      </w:r>
      <w:r>
        <w:t xml:space="preserve"> M.A.D.W. </w:t>
      </w:r>
      <w:r>
        <w:rPr>
          <w:smallCaps/>
        </w:rPr>
        <w:t xml:space="preserve">de Jong, </w:t>
      </w:r>
      <w:r>
        <w:rPr>
          <w:i/>
        </w:rPr>
        <w:t xml:space="preserve">Orde en beweging: Openbare-ordehandhaving en de persoonlijke vrijheid, </w:t>
      </w:r>
      <w:r>
        <w:t>Deventer, W.E.J. Tjeenk Willink, 2000, 143-144.</w:t>
      </w:r>
    </w:p>
  </w:footnote>
  <w:footnote w:id="16">
    <w:p w14:paraId="4FBF56ED" w14:textId="77777777" w:rsidR="00B402A7" w:rsidRPr="00A32E84" w:rsidRDefault="00B402A7" w:rsidP="001B7BAC">
      <w:pPr>
        <w:pStyle w:val="Tekstprzypisudolnego"/>
        <w:jc w:val="both"/>
        <w:rPr>
          <w:lang w:val="en-CA"/>
        </w:rPr>
      </w:pPr>
      <w:r>
        <w:rPr>
          <w:rStyle w:val="Odwoanieprzypisudolnego"/>
        </w:rPr>
        <w:footnoteRef/>
      </w:r>
      <w:r w:rsidRPr="00A32E84">
        <w:rPr>
          <w:lang w:val="en-CA"/>
        </w:rPr>
        <w:t xml:space="preserve"> </w:t>
      </w:r>
      <w:r>
        <w:rPr>
          <w:lang w:val="en-CA"/>
        </w:rPr>
        <w:t>This has already been confirmed by the Belgian Constitutional Court as regards the Belgian temporary prohibition of place (</w:t>
      </w:r>
      <w:r w:rsidRPr="00B27A04">
        <w:rPr>
          <w:lang w:val="en-CA"/>
        </w:rPr>
        <w:t>GwH Apr</w:t>
      </w:r>
      <w:r>
        <w:rPr>
          <w:lang w:val="en-CA"/>
        </w:rPr>
        <w:t>il 23, 2015, No.44/2015 para.B.62)</w:t>
      </w:r>
      <w:r w:rsidRPr="00B27A04">
        <w:rPr>
          <w:lang w:val="en-CA"/>
        </w:rPr>
        <w:t>.</w:t>
      </w:r>
    </w:p>
  </w:footnote>
  <w:footnote w:id="17">
    <w:p w14:paraId="7A76A274" w14:textId="77777777" w:rsidR="00B402A7" w:rsidRPr="002409BF" w:rsidRDefault="00B402A7" w:rsidP="001B7BAC">
      <w:pPr>
        <w:pStyle w:val="Tekstprzypisudolnego"/>
        <w:jc w:val="both"/>
        <w:rPr>
          <w:lang w:val="en-US"/>
        </w:rPr>
      </w:pPr>
      <w:r>
        <w:rPr>
          <w:rStyle w:val="Odwoanieprzypisudolnego"/>
        </w:rPr>
        <w:footnoteRef/>
      </w:r>
      <w:r w:rsidRPr="002409BF">
        <w:rPr>
          <w:lang w:val="en-US"/>
        </w:rPr>
        <w:t xml:space="preserve"> </w:t>
      </w:r>
      <w:r w:rsidRPr="002409BF">
        <w:rPr>
          <w:rFonts w:cs="Times New Roman"/>
          <w:i/>
          <w:lang w:val="en-US"/>
        </w:rPr>
        <w:t xml:space="preserve">Austin and others v United Kingdom </w:t>
      </w:r>
      <w:r w:rsidRPr="002409BF">
        <w:rPr>
          <w:color w:val="000000"/>
          <w:shd w:val="clear" w:color="auto" w:fill="FFFFFF"/>
          <w:lang w:val="en-US"/>
        </w:rPr>
        <w:t>(2012) 55 E.H.R.R. 14</w:t>
      </w:r>
      <w:r>
        <w:rPr>
          <w:color w:val="000000"/>
          <w:shd w:val="clear" w:color="auto" w:fill="FFFFFF"/>
          <w:lang w:val="en-US"/>
        </w:rPr>
        <w:t>.</w:t>
      </w:r>
    </w:p>
  </w:footnote>
  <w:footnote w:id="18">
    <w:p w14:paraId="3443439D" w14:textId="77777777" w:rsidR="00B402A7" w:rsidRPr="00AD18DC" w:rsidRDefault="00B402A7" w:rsidP="001B7BAC">
      <w:pPr>
        <w:pStyle w:val="Tekstprzypisudolnego"/>
        <w:jc w:val="both"/>
        <w:rPr>
          <w:lang w:val="en-CA"/>
        </w:rPr>
      </w:pPr>
      <w:r w:rsidRPr="00AD18DC">
        <w:rPr>
          <w:rStyle w:val="Odwoanieprzypisudolnego"/>
        </w:rPr>
        <w:footnoteRef/>
      </w:r>
      <w:r w:rsidRPr="00AD18DC">
        <w:rPr>
          <w:lang w:val="en-CA"/>
        </w:rPr>
        <w:t xml:space="preserve"> </w:t>
      </w:r>
      <w:r w:rsidRPr="00AD18DC">
        <w:rPr>
          <w:rFonts w:cs="Times New Roman"/>
          <w:i/>
          <w:lang w:val="en-CA"/>
        </w:rPr>
        <w:t xml:space="preserve">Austin and others v United Kingdom </w:t>
      </w:r>
      <w:r w:rsidRPr="00AD18DC">
        <w:rPr>
          <w:color w:val="000000"/>
          <w:shd w:val="clear" w:color="auto" w:fill="FFFFFF"/>
          <w:lang w:val="en-CA"/>
        </w:rPr>
        <w:t>(2012) 55 E.H.R.R. 14</w:t>
      </w:r>
      <w:r w:rsidRPr="00AD18DC">
        <w:rPr>
          <w:lang w:val="en-CA"/>
        </w:rPr>
        <w:t xml:space="preserve"> </w:t>
      </w:r>
      <w:r>
        <w:rPr>
          <w:lang w:val="en-CA"/>
        </w:rPr>
        <w:t>para.</w:t>
      </w:r>
      <w:r w:rsidRPr="00AD18DC">
        <w:rPr>
          <w:lang w:val="en-CA"/>
        </w:rPr>
        <w:t>55.</w:t>
      </w:r>
    </w:p>
  </w:footnote>
  <w:footnote w:id="19">
    <w:p w14:paraId="1385A119" w14:textId="0E309D58" w:rsidR="00B402A7" w:rsidRPr="00AD18DC" w:rsidRDefault="00B402A7" w:rsidP="001B7BAC">
      <w:pPr>
        <w:pStyle w:val="Tekstprzypisudolnego"/>
        <w:jc w:val="both"/>
        <w:rPr>
          <w:lang w:val="en-CA"/>
        </w:rPr>
      </w:pPr>
      <w:r w:rsidRPr="00AD18DC">
        <w:rPr>
          <w:rStyle w:val="Odwoanieprzypisudolnego"/>
        </w:rPr>
        <w:footnoteRef/>
      </w:r>
      <w:r w:rsidRPr="00AD18DC">
        <w:rPr>
          <w:lang w:val="en-US"/>
        </w:rPr>
        <w:t xml:space="preserve"> </w:t>
      </w:r>
      <w:r>
        <w:rPr>
          <w:lang w:val="en-US"/>
        </w:rPr>
        <w:t>However, it did sign it, so that the United Kingdom</w:t>
      </w:r>
      <w:r w:rsidRPr="00AD18DC">
        <w:rPr>
          <w:lang w:val="en-US"/>
        </w:rPr>
        <w:t xml:space="preserve"> may not act contradictory </w:t>
      </w:r>
      <w:r>
        <w:rPr>
          <w:lang w:val="en-US"/>
        </w:rPr>
        <w:t>to</w:t>
      </w:r>
      <w:r w:rsidRPr="00AD18DC">
        <w:rPr>
          <w:lang w:val="en-US"/>
        </w:rPr>
        <w:t xml:space="preserve"> the objec</w:t>
      </w:r>
      <w:r>
        <w:rPr>
          <w:lang w:val="en-US"/>
        </w:rPr>
        <w:t>t and the aim of the Protocol (A</w:t>
      </w:r>
      <w:r w:rsidRPr="00AD18DC">
        <w:rPr>
          <w:lang w:val="en-US"/>
        </w:rPr>
        <w:t>rt.18 Vienna Convention of 23 May 1969 on the Law of Treaties).</w:t>
      </w:r>
      <w:r>
        <w:rPr>
          <w:lang w:val="en-US"/>
        </w:rPr>
        <w:t xml:space="preserve"> </w:t>
      </w:r>
    </w:p>
  </w:footnote>
  <w:footnote w:id="20">
    <w:p w14:paraId="0882055E" w14:textId="77777777" w:rsidR="00B402A7" w:rsidRPr="00836C5F" w:rsidRDefault="00B402A7" w:rsidP="001B7BAC">
      <w:pPr>
        <w:pStyle w:val="Tekstprzypisudolnego"/>
        <w:jc w:val="both"/>
        <w:rPr>
          <w:lang w:val="en-CA"/>
        </w:rPr>
      </w:pPr>
      <w:r w:rsidRPr="00836C5F">
        <w:rPr>
          <w:rStyle w:val="Odwoanieprzypisudolnego"/>
        </w:rPr>
        <w:footnoteRef/>
      </w:r>
      <w:r w:rsidRPr="00836C5F">
        <w:rPr>
          <w:lang w:val="en-CA"/>
        </w:rPr>
        <w:t xml:space="preserve"> According to </w:t>
      </w:r>
      <w:r w:rsidRPr="00836C5F">
        <w:rPr>
          <w:rFonts w:cs="Times New Roman"/>
          <w:lang w:val="en-US"/>
        </w:rPr>
        <w:t xml:space="preserve">the Human Rights Committee the right to </w:t>
      </w:r>
      <w:r>
        <w:rPr>
          <w:rFonts w:cs="Times New Roman"/>
          <w:lang w:val="en-US"/>
        </w:rPr>
        <w:t>freedom</w:t>
      </w:r>
      <w:r w:rsidRPr="00836C5F">
        <w:rPr>
          <w:rFonts w:cs="Times New Roman"/>
          <w:lang w:val="en-US"/>
        </w:rPr>
        <w:t xml:space="preserve"> of movement is </w:t>
      </w:r>
      <w:r>
        <w:rPr>
          <w:rFonts w:cs="Times New Roman"/>
          <w:lang w:val="en-US"/>
        </w:rPr>
        <w:t xml:space="preserve">an </w:t>
      </w:r>
      <w:r w:rsidRPr="00836C5F">
        <w:rPr>
          <w:rFonts w:cs="Times New Roman"/>
          <w:lang w:val="en-US"/>
        </w:rPr>
        <w:t>indispensable condition for the free development of a person (U.N. Doc CCPR/C/21/Rev 1/Add.9 (1999))</w:t>
      </w:r>
      <w:r>
        <w:rPr>
          <w:rFonts w:cs="Times New Roman"/>
          <w:lang w:val="en-US"/>
        </w:rPr>
        <w:t>.</w:t>
      </w:r>
    </w:p>
  </w:footnote>
  <w:footnote w:id="21">
    <w:p w14:paraId="7F148CFC" w14:textId="77777777" w:rsidR="00B402A7" w:rsidRPr="00B27A04" w:rsidRDefault="00B402A7" w:rsidP="001B7BAC">
      <w:pPr>
        <w:pStyle w:val="Tekstprzypisudolnego"/>
        <w:jc w:val="both"/>
        <w:rPr>
          <w:rFonts w:cs="Times New Roman"/>
          <w:lang w:val="en-CA"/>
        </w:rPr>
      </w:pPr>
      <w:r w:rsidRPr="00B27A04">
        <w:rPr>
          <w:rStyle w:val="Odwoanieprzypisudolnego"/>
          <w:rFonts w:cs="Times New Roman"/>
        </w:rPr>
        <w:footnoteRef/>
      </w:r>
      <w:r w:rsidRPr="00B27A04">
        <w:rPr>
          <w:rFonts w:cs="Times New Roman"/>
          <w:lang w:val="en-CA"/>
        </w:rPr>
        <w:t xml:space="preserve"> </w:t>
      </w:r>
      <w:r w:rsidRPr="00B27A04">
        <w:rPr>
          <w:rFonts w:cs="Times New Roman"/>
          <w:i/>
          <w:lang w:val="en-CA"/>
        </w:rPr>
        <w:t xml:space="preserve">Iletmiş v Turkey </w:t>
      </w:r>
      <w:r w:rsidRPr="00B27A04">
        <w:rPr>
          <w:rFonts w:cs="Times New Roman"/>
          <w:lang w:val="en-CA"/>
        </w:rPr>
        <w:t>(2011) 52 E.H.R.R. 35.</w:t>
      </w:r>
    </w:p>
  </w:footnote>
  <w:footnote w:id="22">
    <w:p w14:paraId="3EC21586" w14:textId="02EACFDF" w:rsidR="00B402A7" w:rsidRPr="00C6709D" w:rsidRDefault="00B402A7" w:rsidP="001B7BAC">
      <w:pPr>
        <w:pStyle w:val="Tekstprzypisudolnego"/>
        <w:jc w:val="both"/>
        <w:rPr>
          <w:lang w:val="en-CA"/>
        </w:rPr>
      </w:pPr>
      <w:r w:rsidRPr="00CD03E9">
        <w:rPr>
          <w:rStyle w:val="Odwoanieprzypisudolnego"/>
        </w:rPr>
        <w:footnoteRef/>
      </w:r>
      <w:r w:rsidRPr="00CD03E9">
        <w:rPr>
          <w:lang w:val="en-CA"/>
        </w:rPr>
        <w:t xml:space="preserve"> </w:t>
      </w:r>
      <w:r w:rsidRPr="00CD03E9">
        <w:rPr>
          <w:rFonts w:cs="Times New Roman"/>
          <w:lang w:val="en-CA"/>
        </w:rPr>
        <w:t xml:space="preserve">See </w:t>
      </w:r>
      <w:r w:rsidRPr="00CD03E9">
        <w:rPr>
          <w:rFonts w:cs="Times New Roman"/>
          <w:i/>
          <w:lang w:val="en-GB"/>
        </w:rPr>
        <w:t xml:space="preserve">Landvreugd v </w:t>
      </w:r>
      <w:r>
        <w:rPr>
          <w:rFonts w:cs="Times New Roman"/>
          <w:i/>
          <w:lang w:val="en-GB"/>
        </w:rPr>
        <w:t xml:space="preserve">the </w:t>
      </w:r>
      <w:r w:rsidRPr="00CD03E9">
        <w:rPr>
          <w:rFonts w:cs="Times New Roman"/>
          <w:i/>
          <w:lang w:val="en-GB"/>
        </w:rPr>
        <w:t>Netherland</w:t>
      </w:r>
      <w:r>
        <w:rPr>
          <w:rFonts w:cs="Times New Roman"/>
          <w:i/>
          <w:lang w:val="en-GB"/>
        </w:rPr>
        <w:t>s</w:t>
      </w:r>
      <w:r w:rsidRPr="00CD03E9">
        <w:rPr>
          <w:rFonts w:cs="Times New Roman"/>
          <w:lang w:val="en-GB"/>
        </w:rPr>
        <w:t xml:space="preserve"> </w:t>
      </w:r>
      <w:r w:rsidRPr="00CD03E9">
        <w:rPr>
          <w:color w:val="000000"/>
          <w:shd w:val="clear" w:color="auto" w:fill="FFFFFF"/>
          <w:lang w:val="en-CA"/>
        </w:rPr>
        <w:t>(2003) 36 E.H.R.R. 56</w:t>
      </w:r>
      <w:r>
        <w:rPr>
          <w:color w:val="000000"/>
          <w:shd w:val="clear" w:color="auto" w:fill="FFFFFF"/>
          <w:lang w:val="en-CA"/>
        </w:rPr>
        <w:t xml:space="preserve"> (“Landvreugd”)</w:t>
      </w:r>
      <w:r w:rsidRPr="00CD03E9">
        <w:rPr>
          <w:color w:val="000000"/>
          <w:shd w:val="clear" w:color="auto" w:fill="FFFFFF"/>
          <w:lang w:val="en-CA"/>
        </w:rPr>
        <w:t>, para.74</w:t>
      </w:r>
      <w:r w:rsidRPr="00CD03E9">
        <w:rPr>
          <w:rFonts w:cs="Times New Roman"/>
          <w:lang w:val="en-GB"/>
        </w:rPr>
        <w:t xml:space="preserve"> and </w:t>
      </w:r>
      <w:r w:rsidRPr="00CD03E9">
        <w:rPr>
          <w:rFonts w:cs="Times New Roman"/>
          <w:i/>
          <w:lang w:val="en-GB"/>
        </w:rPr>
        <w:t xml:space="preserve">Olivieira v </w:t>
      </w:r>
      <w:r>
        <w:rPr>
          <w:rFonts w:cs="Times New Roman"/>
          <w:i/>
          <w:lang w:val="en-GB"/>
        </w:rPr>
        <w:t xml:space="preserve">the </w:t>
      </w:r>
      <w:r w:rsidRPr="00CD03E9">
        <w:rPr>
          <w:rFonts w:cs="Times New Roman"/>
          <w:i/>
          <w:lang w:val="en-GB"/>
        </w:rPr>
        <w:t xml:space="preserve">Netherlands </w:t>
      </w:r>
      <w:r w:rsidRPr="00CD03E9">
        <w:rPr>
          <w:color w:val="000000"/>
          <w:shd w:val="clear" w:color="auto" w:fill="FFFFFF"/>
          <w:lang w:val="en-CA"/>
        </w:rPr>
        <w:t>(2003) 37 E.H.R.R. 32;</w:t>
      </w:r>
      <w:r w:rsidRPr="009F6C66">
        <w:rPr>
          <w:color w:val="000000"/>
          <w:shd w:val="clear" w:color="auto" w:fill="FFFFFF"/>
          <w:lang w:val="en-CA"/>
        </w:rPr>
        <w:t xml:space="preserve"> 14 B.H.R.C. 96</w:t>
      </w:r>
      <w:r w:rsidRPr="009F6C66">
        <w:rPr>
          <w:rFonts w:cs="Times New Roman"/>
          <w:lang w:val="en-GB"/>
        </w:rPr>
        <w:t xml:space="preserve"> (“Olivieira”)</w:t>
      </w:r>
      <w:r w:rsidRPr="00CD03E9">
        <w:rPr>
          <w:lang w:val="en-CA"/>
        </w:rPr>
        <w:t xml:space="preserve">, para.65. </w:t>
      </w:r>
      <w:r w:rsidRPr="000503D8">
        <w:t xml:space="preserve">See also </w:t>
      </w:r>
      <w:r w:rsidRPr="00BD1E00">
        <w:t>Jon Schilder and Jan Brouwer</w:t>
      </w:r>
      <w:r w:rsidRPr="00BD1E00">
        <w:rPr>
          <w:smallCaps/>
        </w:rPr>
        <w:t xml:space="preserve">, </w:t>
      </w:r>
      <w:r w:rsidRPr="00BD1E00">
        <w:t xml:space="preserve">“Recht op bewegingsvrijheid, kenbaarheidseis en voorzienbaarheidseis” (noot onder </w:t>
      </w:r>
      <w:r w:rsidRPr="00BD1E00">
        <w:rPr>
          <w:i/>
        </w:rPr>
        <w:t>Landvreugd</w:t>
      </w:r>
      <w:r w:rsidRPr="00BD1E00">
        <w:t>) (2003) 15 AB Rechtspraak Bestuursrecht</w:t>
      </w:r>
      <w:r w:rsidRPr="00BD1E00">
        <w:rPr>
          <w:i/>
        </w:rPr>
        <w:t xml:space="preserve"> </w:t>
      </w:r>
      <w:r w:rsidRPr="00BD1E00">
        <w:t>16</w:t>
      </w:r>
      <w:r>
        <w:t xml:space="preserve"> and </w:t>
      </w:r>
      <w:r w:rsidRPr="00201A76">
        <w:t>Christoph Grabenwarter</w:t>
      </w:r>
      <w:r w:rsidRPr="00201A76">
        <w:rPr>
          <w:rFonts w:cs="Times New Roman"/>
        </w:rPr>
        <w:t xml:space="preserve">, </w:t>
      </w:r>
      <w:r w:rsidRPr="00201A76">
        <w:rPr>
          <w:rFonts w:cs="Times New Roman"/>
          <w:bCs/>
          <w:i/>
        </w:rPr>
        <w:t>European Convention on Human Rights</w:t>
      </w:r>
      <w:r w:rsidRPr="00201A76">
        <w:rPr>
          <w:rFonts w:cs="Times New Roman"/>
          <w:i/>
        </w:rPr>
        <w:t xml:space="preserve">. </w:t>
      </w:r>
      <w:r w:rsidRPr="00C6709D">
        <w:rPr>
          <w:rFonts w:cs="Times New Roman"/>
          <w:i/>
          <w:lang w:val="en-CA"/>
        </w:rPr>
        <w:t>Commentary</w:t>
      </w:r>
      <w:r w:rsidRPr="00C6709D">
        <w:rPr>
          <w:rFonts w:cs="Times New Roman"/>
          <w:lang w:val="en-CA"/>
        </w:rPr>
        <w:t xml:space="preserve"> (Beck, 2014), p.415.</w:t>
      </w:r>
    </w:p>
  </w:footnote>
  <w:footnote w:id="23">
    <w:p w14:paraId="3C0AA900" w14:textId="21891C2F" w:rsidR="00B402A7" w:rsidRPr="00290C90" w:rsidRDefault="00B402A7" w:rsidP="001B7BAC">
      <w:pPr>
        <w:pStyle w:val="Tekstprzypisudolnego"/>
        <w:jc w:val="both"/>
        <w:rPr>
          <w:lang w:val="en-CA"/>
        </w:rPr>
      </w:pPr>
      <w:r>
        <w:rPr>
          <w:rStyle w:val="Odwoanieprzypisudolnego"/>
        </w:rPr>
        <w:footnoteRef/>
      </w:r>
      <w:r w:rsidRPr="00290C90">
        <w:rPr>
          <w:lang w:val="en-CA"/>
        </w:rPr>
        <w:t xml:space="preserve"> </w:t>
      </w:r>
      <w:r>
        <w:rPr>
          <w:lang w:val="en-US"/>
        </w:rPr>
        <w:t xml:space="preserve">Ben Vermeulen, </w:t>
      </w:r>
      <w:r w:rsidRPr="008E78D6">
        <w:rPr>
          <w:rFonts w:cs="Times New Roman"/>
          <w:lang w:val="en-GB"/>
        </w:rPr>
        <w:t>“Chapter 21</w:t>
      </w:r>
      <w:r>
        <w:rPr>
          <w:rFonts w:cs="Times New Roman"/>
          <w:lang w:val="en-GB"/>
        </w:rPr>
        <w:t>.</w:t>
      </w:r>
      <w:r w:rsidRPr="008E78D6">
        <w:rPr>
          <w:rFonts w:cs="Times New Roman"/>
          <w:lang w:val="en-GB"/>
        </w:rPr>
        <w:t xml:space="preserve"> The Right to Liberty of Movement (</w:t>
      </w:r>
      <w:r>
        <w:rPr>
          <w:rFonts w:cs="Times New Roman"/>
          <w:lang w:val="en-GB"/>
        </w:rPr>
        <w:t>Article</w:t>
      </w:r>
      <w:r w:rsidRPr="008E78D6">
        <w:rPr>
          <w:rFonts w:cs="Times New Roman"/>
          <w:lang w:val="en-GB"/>
        </w:rPr>
        <w:t xml:space="preserve"> 2 of Protocol No. 4)” in</w:t>
      </w:r>
      <w:r>
        <w:rPr>
          <w:rFonts w:cs="Times New Roman"/>
          <w:lang w:val="en-GB"/>
        </w:rPr>
        <w:t xml:space="preserve"> Pieter Van Dijk, Fried Van Hoof, Arjen Van Rijn and Leo Zwaak </w:t>
      </w:r>
      <w:r w:rsidRPr="008E78D6">
        <w:rPr>
          <w:rFonts w:cs="Times New Roman"/>
          <w:lang w:val="en-GB"/>
        </w:rPr>
        <w:t xml:space="preserve">(eds), </w:t>
      </w:r>
      <w:r w:rsidRPr="008E78D6">
        <w:rPr>
          <w:rFonts w:cs="Times New Roman"/>
          <w:i/>
          <w:lang w:val="en-GB"/>
        </w:rPr>
        <w:t xml:space="preserve">Theory and practice of the European Convention on Human </w:t>
      </w:r>
      <w:r w:rsidRPr="00EA338E">
        <w:rPr>
          <w:rFonts w:cs="Times New Roman"/>
          <w:i/>
          <w:lang w:val="en-GB"/>
        </w:rPr>
        <w:t>Rights</w:t>
      </w:r>
      <w:r>
        <w:rPr>
          <w:rFonts w:cs="Times New Roman"/>
          <w:i/>
          <w:lang w:val="en-GB"/>
        </w:rPr>
        <w:t xml:space="preserve"> </w:t>
      </w:r>
      <w:r>
        <w:rPr>
          <w:rFonts w:cs="Times New Roman"/>
          <w:lang w:val="en-GB"/>
        </w:rPr>
        <w:t>(</w:t>
      </w:r>
      <w:r w:rsidRPr="00EA338E">
        <w:rPr>
          <w:rFonts w:cs="Times New Roman"/>
          <w:lang w:val="en-GB"/>
        </w:rPr>
        <w:t>Intersentia, 2006</w:t>
      </w:r>
      <w:r>
        <w:rPr>
          <w:rFonts w:cs="Times New Roman"/>
          <w:lang w:val="en-GB"/>
        </w:rPr>
        <w:t>),</w:t>
      </w:r>
      <w:r w:rsidRPr="00BD1E00">
        <w:rPr>
          <w:lang w:val="en-US"/>
        </w:rPr>
        <w:t xml:space="preserve"> p.944</w:t>
      </w:r>
      <w:r>
        <w:rPr>
          <w:lang w:val="en-US"/>
        </w:rPr>
        <w:t>.</w:t>
      </w:r>
    </w:p>
  </w:footnote>
  <w:footnote w:id="24">
    <w:p w14:paraId="0002449D" w14:textId="187B4308" w:rsidR="00B402A7" w:rsidRPr="006400BD" w:rsidRDefault="00B402A7" w:rsidP="001B7BAC">
      <w:pPr>
        <w:pStyle w:val="Tekstprzypisudolnego"/>
        <w:jc w:val="both"/>
        <w:rPr>
          <w:rFonts w:cs="Times New Roman"/>
          <w:lang w:val="en-CA"/>
        </w:rPr>
      </w:pPr>
      <w:r w:rsidRPr="00CD03E9">
        <w:rPr>
          <w:rStyle w:val="Odwoanieprzypisudolnego"/>
          <w:rFonts w:cs="Times New Roman"/>
        </w:rPr>
        <w:footnoteRef/>
      </w:r>
      <w:r w:rsidRPr="00CD03E9">
        <w:rPr>
          <w:rFonts w:cs="Times New Roman"/>
          <w:lang w:val="en-CA"/>
        </w:rPr>
        <w:t xml:space="preserve"> Art.2(4) FAP. See, e.g. </w:t>
      </w:r>
      <w:r w:rsidRPr="00CD03E9">
        <w:rPr>
          <w:rFonts w:cs="Times New Roman"/>
          <w:i/>
          <w:lang w:val="en-CA"/>
        </w:rPr>
        <w:t>Landvreugd</w:t>
      </w:r>
      <w:r w:rsidRPr="00CD03E9">
        <w:rPr>
          <w:rFonts w:cs="Times New Roman"/>
          <w:lang w:val="en-CA"/>
        </w:rPr>
        <w:t xml:space="preserve"> and </w:t>
      </w:r>
      <w:r w:rsidRPr="00CD03E9">
        <w:rPr>
          <w:rFonts w:cs="Times New Roman"/>
          <w:i/>
          <w:lang w:val="en-CA"/>
        </w:rPr>
        <w:t>Olivieira</w:t>
      </w:r>
      <w:r w:rsidRPr="00CD03E9">
        <w:rPr>
          <w:rFonts w:cs="Times New Roman"/>
          <w:lang w:val="en-CA"/>
        </w:rPr>
        <w:t>.</w:t>
      </w:r>
    </w:p>
  </w:footnote>
  <w:footnote w:id="25">
    <w:p w14:paraId="17AC906F" w14:textId="06D8D71D" w:rsidR="00B402A7" w:rsidRPr="00884B78" w:rsidRDefault="00B402A7" w:rsidP="001B7BAC">
      <w:pPr>
        <w:pStyle w:val="Tekstprzypisudolnego"/>
        <w:jc w:val="both"/>
        <w:rPr>
          <w:lang w:val="en-US"/>
        </w:rPr>
      </w:pPr>
      <w:r>
        <w:rPr>
          <w:rStyle w:val="Odwoanieprzypisudolnego"/>
        </w:rPr>
        <w:footnoteRef/>
      </w:r>
      <w:r w:rsidRPr="00884B78">
        <w:rPr>
          <w:lang w:val="en-US"/>
        </w:rPr>
        <w:t xml:space="preserve"> See Art.8(2), 10(2) and 11(2) ECHR.</w:t>
      </w:r>
    </w:p>
  </w:footnote>
  <w:footnote w:id="26">
    <w:p w14:paraId="04003BD3" w14:textId="46C19012" w:rsidR="00B402A7" w:rsidRPr="00BB5733" w:rsidRDefault="00B402A7" w:rsidP="001B7BAC">
      <w:pPr>
        <w:pStyle w:val="Tekstprzypisudolnego"/>
        <w:jc w:val="both"/>
        <w:rPr>
          <w:lang w:val="en-CA"/>
        </w:rPr>
      </w:pPr>
      <w:r w:rsidRPr="00B33FFB">
        <w:rPr>
          <w:rStyle w:val="Odwoanieprzypisudolnego"/>
        </w:rPr>
        <w:footnoteRef/>
      </w:r>
      <w:r w:rsidRPr="00B33FFB">
        <w:rPr>
          <w:lang w:val="en-CA"/>
        </w:rPr>
        <w:t xml:space="preserve"> </w:t>
      </w:r>
      <w:r w:rsidRPr="00AD18DC">
        <w:rPr>
          <w:rFonts w:cs="Times New Roman"/>
          <w:lang w:val="en-GB"/>
        </w:rPr>
        <w:t>Nuria Arenas Hidalgo, “Liberty of Movement Within the Territory of a State (</w:t>
      </w:r>
      <w:r>
        <w:rPr>
          <w:rFonts w:cs="Times New Roman"/>
          <w:lang w:val="en-GB"/>
        </w:rPr>
        <w:t>Article</w:t>
      </w:r>
      <w:r w:rsidRPr="00AD18DC">
        <w:rPr>
          <w:rFonts w:cs="Times New Roman"/>
          <w:lang w:val="en-GB"/>
        </w:rPr>
        <w:t xml:space="preserve"> 2 of Additional Protocol No. 4 ECHR)” in Javier García</w:t>
      </w:r>
      <w:r w:rsidRPr="00AD18DC">
        <w:rPr>
          <w:rFonts w:cs="Times New Roman"/>
          <w:color w:val="000000"/>
          <w:shd w:val="clear" w:color="auto" w:fill="FFFFFF"/>
          <w:lang w:val="en-GB"/>
        </w:rPr>
        <w:t xml:space="preserve"> Roca and Pablo Santolaya (eds), </w:t>
      </w:r>
      <w:r w:rsidRPr="00AD18DC">
        <w:rPr>
          <w:rFonts w:cs="Times New Roman"/>
          <w:i/>
          <w:iCs/>
          <w:color w:val="000000"/>
          <w:shd w:val="clear" w:color="auto" w:fill="FFFFFF"/>
          <w:lang w:val="en-GB"/>
        </w:rPr>
        <w:t xml:space="preserve">Europe of Rights: A Compendium on the European Convention of Human Right </w:t>
      </w:r>
      <w:r>
        <w:rPr>
          <w:rFonts w:cs="Times New Roman"/>
          <w:color w:val="000000"/>
          <w:shd w:val="clear" w:color="auto" w:fill="FFFFFF"/>
          <w:lang w:val="en-GB"/>
        </w:rPr>
        <w:t xml:space="preserve"> (Koninklijke Brill, 2012)</w:t>
      </w:r>
      <w:r>
        <w:rPr>
          <w:rFonts w:cs="Times New Roman"/>
          <w:lang w:val="en-GB"/>
        </w:rPr>
        <w:t>,</w:t>
      </w:r>
      <w:r w:rsidRPr="00B33FFB">
        <w:rPr>
          <w:rFonts w:cs="Times New Roman"/>
          <w:lang w:val="en-GB"/>
        </w:rPr>
        <w:t xml:space="preserve"> p</w:t>
      </w:r>
      <w:r>
        <w:rPr>
          <w:rFonts w:cs="Times New Roman"/>
          <w:lang w:val="en-GB"/>
        </w:rPr>
        <w:t>p</w:t>
      </w:r>
      <w:r w:rsidRPr="00B33FFB">
        <w:rPr>
          <w:rFonts w:cs="Times New Roman"/>
          <w:lang w:val="en-GB"/>
        </w:rPr>
        <w:t>.622</w:t>
      </w:r>
      <w:r>
        <w:rPr>
          <w:rFonts w:cs="Times New Roman"/>
          <w:lang w:val="en-GB"/>
        </w:rPr>
        <w:t>-623</w:t>
      </w:r>
      <w:r>
        <w:rPr>
          <w:lang w:val="en-CA"/>
        </w:rPr>
        <w:t>.</w:t>
      </w:r>
    </w:p>
  </w:footnote>
  <w:footnote w:id="27">
    <w:p w14:paraId="1803CE2B" w14:textId="7B543208" w:rsidR="00B402A7" w:rsidRPr="005801B1" w:rsidRDefault="00B402A7" w:rsidP="001B7BAC">
      <w:pPr>
        <w:pStyle w:val="Tekstprzypisudolnego"/>
        <w:jc w:val="both"/>
        <w:rPr>
          <w:lang w:val="en-CA"/>
        </w:rPr>
      </w:pPr>
      <w:r w:rsidRPr="00B33FFB">
        <w:rPr>
          <w:rStyle w:val="Odwoanieprzypisudolnego"/>
        </w:rPr>
        <w:footnoteRef/>
      </w:r>
      <w:r w:rsidRPr="00B33FFB">
        <w:rPr>
          <w:lang w:val="en-CA"/>
        </w:rPr>
        <w:t xml:space="preserve"> </w:t>
      </w:r>
      <w:r>
        <w:rPr>
          <w:lang w:val="en-CA"/>
        </w:rPr>
        <w:t>I.e. t</w:t>
      </w:r>
      <w:r>
        <w:rPr>
          <w:rFonts w:cs="Times New Roman"/>
          <w:lang w:val="en-US"/>
        </w:rPr>
        <w:t xml:space="preserve">he NMA </w:t>
      </w:r>
      <w:r w:rsidRPr="00B33FFB">
        <w:rPr>
          <w:rFonts w:eastAsia="Times New Roman" w:cs="Times New Roman"/>
          <w:lang w:val="en-CA" w:eastAsia="nl-BE"/>
        </w:rPr>
        <w:t>(art.134</w:t>
      </w:r>
      <w:r w:rsidRPr="00255956">
        <w:rPr>
          <w:rFonts w:eastAsia="Times New Roman" w:cs="Times New Roman"/>
          <w:i/>
          <w:lang w:val="en-CA" w:eastAsia="nl-BE"/>
        </w:rPr>
        <w:t>sexies</w:t>
      </w:r>
      <w:r w:rsidRPr="00B33FFB">
        <w:rPr>
          <w:rFonts w:eastAsia="Times New Roman" w:cs="Times New Roman"/>
          <w:lang w:val="en-CA" w:eastAsia="nl-BE"/>
        </w:rPr>
        <w:t xml:space="preserve">) </w:t>
      </w:r>
      <w:r>
        <w:rPr>
          <w:rFonts w:eastAsia="Times New Roman" w:cs="Times New Roman"/>
          <w:lang w:val="en-CA" w:eastAsia="nl-BE"/>
        </w:rPr>
        <w:t xml:space="preserve">and the ACPA (part 3) </w:t>
      </w:r>
      <w:r w:rsidRPr="00B33FFB">
        <w:rPr>
          <w:rFonts w:eastAsia="Times New Roman" w:cs="Times New Roman"/>
          <w:lang w:val="en-CA" w:eastAsia="nl-BE"/>
        </w:rPr>
        <w:t xml:space="preserve">for the prohibition of place and the </w:t>
      </w:r>
      <w:r>
        <w:rPr>
          <w:rFonts w:eastAsia="Times New Roman" w:cs="Times New Roman"/>
          <w:lang w:val="en-CA" w:eastAsia="nl-BE"/>
        </w:rPr>
        <w:t>direction to leave, respectively</w:t>
      </w:r>
      <w:r w:rsidRPr="005801B1">
        <w:rPr>
          <w:lang w:val="en-CA"/>
        </w:rPr>
        <w:t>.</w:t>
      </w:r>
      <w:r>
        <w:rPr>
          <w:lang w:val="en-CA"/>
        </w:rPr>
        <w:t xml:space="preserve"> </w:t>
      </w:r>
      <w:r>
        <w:rPr>
          <w:rFonts w:cs="Times New Roman"/>
          <w:lang w:val="en-GB"/>
        </w:rPr>
        <w:t xml:space="preserve">This has already been confirmed by the Belgian Constitutional Court as regards the Belgian prohibition of place (see </w:t>
      </w:r>
      <w:r w:rsidRPr="00B33FFB">
        <w:rPr>
          <w:lang w:val="en-CA"/>
        </w:rPr>
        <w:t xml:space="preserve">GwH April 23, 2015, No.44/2015, </w:t>
      </w:r>
      <w:r>
        <w:rPr>
          <w:lang w:val="en-CA"/>
        </w:rPr>
        <w:t>paras.</w:t>
      </w:r>
      <w:r w:rsidRPr="00B33FFB">
        <w:rPr>
          <w:lang w:val="en-CA"/>
        </w:rPr>
        <w:t>B.60.6-B.60.9</w:t>
      </w:r>
      <w:r>
        <w:rPr>
          <w:lang w:val="en-CA"/>
        </w:rPr>
        <w:t>).</w:t>
      </w:r>
    </w:p>
  </w:footnote>
  <w:footnote w:id="28">
    <w:p w14:paraId="65090A28" w14:textId="77777777" w:rsidR="00B402A7" w:rsidRPr="005E79DB" w:rsidRDefault="00B402A7" w:rsidP="001B7BAC">
      <w:pPr>
        <w:pStyle w:val="Tekstprzypisudolnego"/>
        <w:jc w:val="both"/>
      </w:pPr>
      <w:r w:rsidRPr="005801B1">
        <w:rPr>
          <w:rStyle w:val="Odwoanieprzypisudolnego"/>
        </w:rPr>
        <w:footnoteRef/>
      </w:r>
      <w:r w:rsidRPr="005E79DB">
        <w:t xml:space="preserve"> Janneke Gerards, </w:t>
      </w:r>
      <w:r w:rsidRPr="005E79DB">
        <w:rPr>
          <w:i/>
        </w:rPr>
        <w:t>EVRM: Algemene beginselen</w:t>
      </w:r>
      <w:r w:rsidRPr="005E79DB">
        <w:t xml:space="preserve"> (Sdu Uitgevers, 2011), p.133.</w:t>
      </w:r>
    </w:p>
  </w:footnote>
  <w:footnote w:id="29">
    <w:p w14:paraId="26D785C3" w14:textId="5EAD36CE" w:rsidR="00B402A7" w:rsidRPr="005801B1" w:rsidRDefault="00B402A7" w:rsidP="001B7BAC">
      <w:pPr>
        <w:pStyle w:val="Tekstprzypisudolnego"/>
        <w:jc w:val="both"/>
        <w:rPr>
          <w:lang w:val="en-CA"/>
        </w:rPr>
      </w:pPr>
      <w:r w:rsidRPr="005801B1">
        <w:rPr>
          <w:rStyle w:val="Odwoanieprzypisudolnego"/>
        </w:rPr>
        <w:footnoteRef/>
      </w:r>
      <w:r w:rsidRPr="005801B1">
        <w:rPr>
          <w:lang w:val="en-CA"/>
        </w:rPr>
        <w:t xml:space="preserve"> </w:t>
      </w:r>
      <w:r>
        <w:rPr>
          <w:lang w:val="en-CA"/>
        </w:rPr>
        <w:t xml:space="preserve">That the Belgian prohibition of place pursues a legitimate aim (the aim of public order) has </w:t>
      </w:r>
      <w:r w:rsidRPr="005801B1">
        <w:rPr>
          <w:lang w:val="en-CA"/>
        </w:rPr>
        <w:t xml:space="preserve">already </w:t>
      </w:r>
      <w:r>
        <w:rPr>
          <w:lang w:val="en-CA"/>
        </w:rPr>
        <w:t xml:space="preserve">been </w:t>
      </w:r>
      <w:r w:rsidRPr="00CD03E9">
        <w:rPr>
          <w:lang w:val="en-CA"/>
        </w:rPr>
        <w:t>confirmed by th</w:t>
      </w:r>
      <w:r>
        <w:rPr>
          <w:lang w:val="en-CA"/>
        </w:rPr>
        <w:t>e Belgian Constitutional Court (</w:t>
      </w:r>
      <w:r w:rsidRPr="00CD03E9">
        <w:rPr>
          <w:lang w:val="en-CA"/>
        </w:rPr>
        <w:t>GwH April 23, 2015, No.44/2015 para.B.60.7</w:t>
      </w:r>
      <w:r w:rsidRPr="00CD03E9">
        <w:rPr>
          <w:rFonts w:eastAsia="Times New Roman" w:cs="Times New Roman"/>
          <w:lang w:val="en-CA" w:eastAsia="nl-BE"/>
        </w:rPr>
        <w:t>).</w:t>
      </w:r>
    </w:p>
  </w:footnote>
  <w:footnote w:id="30">
    <w:p w14:paraId="46ABC151" w14:textId="5A272B16" w:rsidR="00B402A7" w:rsidRPr="00316393" w:rsidRDefault="00B402A7" w:rsidP="001B7BAC">
      <w:pPr>
        <w:pStyle w:val="Tekstprzypisudolnego"/>
        <w:jc w:val="both"/>
        <w:rPr>
          <w:i/>
          <w:lang w:val="en-CA"/>
        </w:rPr>
      </w:pPr>
      <w:r>
        <w:rPr>
          <w:rStyle w:val="Odwoanieprzypisudolnego"/>
        </w:rPr>
        <w:footnoteRef/>
      </w:r>
      <w:r w:rsidRPr="00E90012">
        <w:t xml:space="preserve"> </w:t>
      </w:r>
      <w:r w:rsidRPr="00E90012">
        <w:rPr>
          <w:i/>
        </w:rPr>
        <w:t>S</w:t>
      </w:r>
      <w:r w:rsidRPr="00E90012">
        <w:rPr>
          <w:rFonts w:cs="Times New Roman"/>
          <w:i/>
        </w:rPr>
        <w:t>oering v UK</w:t>
      </w:r>
      <w:r w:rsidRPr="00E90012">
        <w:rPr>
          <w:rFonts w:cs="Times New Roman"/>
        </w:rPr>
        <w:t xml:space="preserve"> (1989) 11 EHRR 439,</w:t>
      </w:r>
      <w:r w:rsidRPr="00E90012">
        <w:rPr>
          <w:rFonts w:cs="Times New Roman"/>
          <w:i/>
        </w:rPr>
        <w:t xml:space="preserve"> </w:t>
      </w:r>
      <w:r w:rsidRPr="00E90012">
        <w:rPr>
          <w:rFonts w:cs="Times New Roman"/>
        </w:rPr>
        <w:t xml:space="preserve">para.89. </w:t>
      </w:r>
      <w:r w:rsidRPr="00316393">
        <w:rPr>
          <w:rFonts w:cs="Times New Roman"/>
          <w:lang w:val="en-CA"/>
        </w:rPr>
        <w:t xml:space="preserve">See also </w:t>
      </w:r>
      <w:r w:rsidRPr="00316393">
        <w:rPr>
          <w:rFonts w:cs="Times New Roman"/>
          <w:i/>
          <w:lang w:val="en-CA"/>
        </w:rPr>
        <w:t>infra.</w:t>
      </w:r>
    </w:p>
  </w:footnote>
  <w:footnote w:id="31">
    <w:p w14:paraId="2EEE9CB3" w14:textId="5A1F397C" w:rsidR="00B402A7" w:rsidRPr="006F39E4" w:rsidRDefault="00B402A7" w:rsidP="001B7BAC">
      <w:pPr>
        <w:pStyle w:val="Tekstprzypisudolnego"/>
        <w:jc w:val="both"/>
        <w:rPr>
          <w:lang w:val="en-US"/>
        </w:rPr>
      </w:pPr>
      <w:r w:rsidRPr="006F39E4">
        <w:rPr>
          <w:rStyle w:val="Odwoanieprzypisudolnego"/>
        </w:rPr>
        <w:footnoteRef/>
      </w:r>
      <w:r w:rsidRPr="006F39E4">
        <w:rPr>
          <w:lang w:val="en-US"/>
        </w:rPr>
        <w:t xml:space="preserve"> </w:t>
      </w:r>
      <w:r w:rsidRPr="00457179">
        <w:rPr>
          <w:i/>
          <w:lang w:val="en-US"/>
        </w:rPr>
        <w:t xml:space="preserve">Daly </w:t>
      </w:r>
      <w:r w:rsidRPr="00457179">
        <w:rPr>
          <w:rFonts w:cs="Times New Roman"/>
          <w:i/>
          <w:lang w:val="en-US"/>
        </w:rPr>
        <w:t>v Secretary of State for the Home Department</w:t>
      </w:r>
      <w:r w:rsidRPr="006F39E4">
        <w:rPr>
          <w:rFonts w:cs="Times New Roman"/>
          <w:lang w:val="en-US"/>
        </w:rPr>
        <w:t xml:space="preserve"> [2</w:t>
      </w:r>
      <w:r>
        <w:rPr>
          <w:rFonts w:cs="Times New Roman"/>
          <w:lang w:val="en-US"/>
        </w:rPr>
        <w:t>001] UKHL 26; [2001] 2 A.C. 532</w:t>
      </w:r>
      <w:r w:rsidRPr="006F39E4">
        <w:rPr>
          <w:rFonts w:cs="Times New Roman"/>
          <w:lang w:val="en-US"/>
        </w:rPr>
        <w:t xml:space="preserve">. See also </w:t>
      </w:r>
      <w:r w:rsidRPr="006F39E4">
        <w:rPr>
          <w:lang w:val="en-US"/>
        </w:rPr>
        <w:t>Tom Hickman, “The substance and</w:t>
      </w:r>
      <w:r>
        <w:rPr>
          <w:lang w:val="en-US"/>
        </w:rPr>
        <w:t xml:space="preserve"> structure of proportionality” [</w:t>
      </w:r>
      <w:r w:rsidRPr="006F39E4">
        <w:rPr>
          <w:lang w:val="en-US"/>
        </w:rPr>
        <w:t>2008</w:t>
      </w:r>
      <w:r>
        <w:rPr>
          <w:lang w:val="en-US"/>
        </w:rPr>
        <w:t>]</w:t>
      </w:r>
      <w:r w:rsidRPr="006F39E4">
        <w:rPr>
          <w:lang w:val="en-US"/>
        </w:rPr>
        <w:t xml:space="preserve"> P.L.</w:t>
      </w:r>
      <w:r w:rsidRPr="006F39E4">
        <w:rPr>
          <w:color w:val="000000"/>
          <w:shd w:val="clear" w:color="auto" w:fill="FFFFFF"/>
          <w:lang w:val="en-US"/>
        </w:rPr>
        <w:t xml:space="preserve"> 694</w:t>
      </w:r>
      <w:r>
        <w:rPr>
          <w:color w:val="000000"/>
          <w:shd w:val="clear" w:color="auto" w:fill="FFFFFF"/>
          <w:lang w:val="en-US"/>
        </w:rPr>
        <w:t xml:space="preserve">, </w:t>
      </w:r>
      <w:r>
        <w:rPr>
          <w:lang w:val="en-US"/>
        </w:rPr>
        <w:t>694</w:t>
      </w:r>
      <w:r>
        <w:rPr>
          <w:color w:val="000000"/>
          <w:shd w:val="clear" w:color="auto" w:fill="FFFFFF"/>
          <w:lang w:val="en-US"/>
        </w:rPr>
        <w:t>.</w:t>
      </w:r>
    </w:p>
  </w:footnote>
  <w:footnote w:id="32">
    <w:p w14:paraId="58FFBCBB" w14:textId="339C7954" w:rsidR="00B402A7" w:rsidRPr="00995C32" w:rsidRDefault="00B402A7" w:rsidP="001B7BAC">
      <w:pPr>
        <w:pStyle w:val="Tekstprzypisudolnego"/>
        <w:jc w:val="both"/>
        <w:rPr>
          <w:lang w:val="en-US"/>
        </w:rPr>
      </w:pPr>
      <w:r w:rsidRPr="00995C32">
        <w:rPr>
          <w:rStyle w:val="Odwoanieprzypisudolnego"/>
        </w:rPr>
        <w:footnoteRef/>
      </w:r>
      <w:r w:rsidRPr="00995C32">
        <w:rPr>
          <w:lang w:val="en-US"/>
        </w:rPr>
        <w:t xml:space="preserve"> References in this </w:t>
      </w:r>
      <w:r>
        <w:rPr>
          <w:lang w:val="en-US"/>
        </w:rPr>
        <w:t>contribution</w:t>
      </w:r>
      <w:r w:rsidRPr="00995C32">
        <w:rPr>
          <w:lang w:val="en-US"/>
        </w:rPr>
        <w:t xml:space="preserve"> to the United Kingdom should be read as comprising (only) England and Wales.</w:t>
      </w:r>
    </w:p>
  </w:footnote>
  <w:footnote w:id="33">
    <w:p w14:paraId="2C7F4B6B" w14:textId="12FEFB8F" w:rsidR="00B402A7" w:rsidRPr="00484F63" w:rsidRDefault="00B402A7" w:rsidP="001B7BAC">
      <w:pPr>
        <w:pStyle w:val="Tekstprzypisudolnego"/>
        <w:jc w:val="both"/>
        <w:rPr>
          <w:lang w:val="en-CA"/>
        </w:rPr>
      </w:pPr>
      <w:r w:rsidRPr="00484F63">
        <w:rPr>
          <w:rStyle w:val="Odwoanieprzypisudolnego"/>
        </w:rPr>
        <w:footnoteRef/>
      </w:r>
      <w:r w:rsidRPr="00484F63">
        <w:rPr>
          <w:lang w:val="en-CA"/>
        </w:rPr>
        <w:t xml:space="preserve"> </w:t>
      </w:r>
      <w:r w:rsidRPr="00484F63">
        <w:rPr>
          <w:bCs/>
          <w:lang w:val="en-US"/>
        </w:rPr>
        <w:t>Alan D.</w:t>
      </w:r>
      <w:r w:rsidRPr="00484F63">
        <w:rPr>
          <w:lang w:val="en-US"/>
        </w:rPr>
        <w:t>P. Brady,</w:t>
      </w:r>
      <w:r w:rsidRPr="00484F63">
        <w:rPr>
          <w:rFonts w:cs="Arial"/>
          <w:shd w:val="clear" w:color="auto" w:fill="FFFFFF"/>
          <w:lang w:val="en-US"/>
        </w:rPr>
        <w:t xml:space="preserve"> </w:t>
      </w:r>
      <w:r w:rsidRPr="00484F63">
        <w:rPr>
          <w:rFonts w:cs="Arial"/>
          <w:i/>
          <w:shd w:val="clear" w:color="auto" w:fill="FFFFFF"/>
          <w:lang w:val="en-US"/>
        </w:rPr>
        <w:t>Proportionality and Deference Under the UK Human Rights Act: An Institutionally Sensitive Approach</w:t>
      </w:r>
      <w:r w:rsidRPr="00484F63">
        <w:rPr>
          <w:rFonts w:cs="Arial"/>
          <w:shd w:val="clear" w:color="auto" w:fill="FFFFFF"/>
          <w:lang w:val="en-US"/>
        </w:rPr>
        <w:t xml:space="preserve"> (CUP, 2012), p</w:t>
      </w:r>
      <w:r>
        <w:rPr>
          <w:rFonts w:cs="Arial"/>
          <w:shd w:val="clear" w:color="auto" w:fill="FFFFFF"/>
          <w:lang w:val="en-US"/>
        </w:rPr>
        <w:t>.</w:t>
      </w:r>
      <w:r w:rsidRPr="00484F63">
        <w:rPr>
          <w:rFonts w:cs="Arial"/>
          <w:shd w:val="clear" w:color="auto" w:fill="FFFFFF"/>
          <w:lang w:val="en-US"/>
        </w:rPr>
        <w:t>6.</w:t>
      </w:r>
    </w:p>
  </w:footnote>
  <w:footnote w:id="34">
    <w:p w14:paraId="2E7904E0" w14:textId="6872D840" w:rsidR="00B402A7" w:rsidRPr="00C27649" w:rsidRDefault="00B402A7" w:rsidP="001B7BAC">
      <w:pPr>
        <w:pStyle w:val="Tekstprzypisudolnego"/>
        <w:jc w:val="both"/>
        <w:rPr>
          <w:lang w:val="en-CA"/>
        </w:rPr>
      </w:pPr>
      <w:r w:rsidRPr="000359C2">
        <w:rPr>
          <w:rStyle w:val="Odwoanieprzypisudolnego"/>
        </w:rPr>
        <w:footnoteRef/>
      </w:r>
      <w:r w:rsidRPr="000359C2">
        <w:rPr>
          <w:lang w:val="en-CA"/>
        </w:rPr>
        <w:t xml:space="preserve"> </w:t>
      </w:r>
      <w:r w:rsidRPr="000359C2">
        <w:rPr>
          <w:rFonts w:cs="Times New Roman"/>
          <w:color w:val="000000"/>
          <w:lang w:val="en-US"/>
        </w:rPr>
        <w:t xml:space="preserve">Anne Davies and Jack Williams, “Proportionality in English Law” in </w:t>
      </w:r>
      <w:r w:rsidRPr="000359C2">
        <w:rPr>
          <w:lang w:val="en-US"/>
        </w:rPr>
        <w:t xml:space="preserve">Sofia Ranchordás and Boudewijn de Waard (eds), </w:t>
      </w:r>
      <w:r w:rsidRPr="000359C2">
        <w:rPr>
          <w:i/>
          <w:lang w:val="en-US"/>
        </w:rPr>
        <w:t>The Judge and the Proportionate Use of Discretion</w:t>
      </w:r>
      <w:r w:rsidRPr="000359C2">
        <w:rPr>
          <w:lang w:val="en-US"/>
        </w:rPr>
        <w:t xml:space="preserve"> (Routledge, 2015), p.73.</w:t>
      </w:r>
    </w:p>
  </w:footnote>
  <w:footnote w:id="35">
    <w:p w14:paraId="7A973CBE" w14:textId="14E74CC8" w:rsidR="00B402A7" w:rsidRPr="004F6DBB" w:rsidRDefault="00B402A7" w:rsidP="001B7BAC">
      <w:pPr>
        <w:pStyle w:val="Tekstprzypisudolnego"/>
        <w:jc w:val="both"/>
        <w:rPr>
          <w:lang w:val="en-US"/>
        </w:rPr>
      </w:pPr>
      <w:r>
        <w:rPr>
          <w:rStyle w:val="Odwoanieprzypisudolnego"/>
        </w:rPr>
        <w:footnoteRef/>
      </w:r>
      <w:r w:rsidRPr="004F6DBB">
        <w:rPr>
          <w:lang w:val="en-US"/>
        </w:rPr>
        <w:t xml:space="preserve"> </w:t>
      </w:r>
      <w:r w:rsidRPr="00FF6154">
        <w:rPr>
          <w:i/>
          <w:lang w:val="en-US"/>
        </w:rPr>
        <w:t>Lauko v Slovakia</w:t>
      </w:r>
      <w:r w:rsidRPr="00FF6154">
        <w:rPr>
          <w:lang w:val="en-US"/>
        </w:rPr>
        <w:t>, Application 26138/95 (2001) 33 E.H.R.R. 40, para</w:t>
      </w:r>
      <w:r>
        <w:rPr>
          <w:lang w:val="en-US"/>
        </w:rPr>
        <w:t>s</w:t>
      </w:r>
      <w:r w:rsidRPr="00FF6154">
        <w:rPr>
          <w:lang w:val="en-US"/>
        </w:rPr>
        <w:t>.56</w:t>
      </w:r>
      <w:r>
        <w:rPr>
          <w:lang w:val="en-US"/>
        </w:rPr>
        <w:t>-57</w:t>
      </w:r>
      <w:r w:rsidRPr="00FF6154">
        <w:rPr>
          <w:lang w:val="en-US"/>
        </w:rPr>
        <w:t xml:space="preserve">; </w:t>
      </w:r>
      <w:r w:rsidRPr="00FF6154">
        <w:rPr>
          <w:i/>
          <w:lang w:val="en-US"/>
        </w:rPr>
        <w:t>Öztürk v Germany</w:t>
      </w:r>
      <w:r w:rsidRPr="00FF6154">
        <w:rPr>
          <w:lang w:val="en-US"/>
        </w:rPr>
        <w:t xml:space="preserve">, Series A No.73 (1984) 6 E.H.R.R. 409, para.50 and Engel and others v The Netherlands, Series A. No.22 </w:t>
      </w:r>
      <w:r w:rsidRPr="00FF6154">
        <w:rPr>
          <w:color w:val="000000"/>
          <w:shd w:val="clear" w:color="auto" w:fill="FFFFFF"/>
          <w:lang w:val="en-US"/>
        </w:rPr>
        <w:t>(1979-80) 1 E.H.R.R. 647,</w:t>
      </w:r>
      <w:r w:rsidRPr="00FF6154">
        <w:rPr>
          <w:lang w:val="en-US"/>
        </w:rPr>
        <w:t xml:space="preserve"> para.82.</w:t>
      </w:r>
    </w:p>
  </w:footnote>
  <w:footnote w:id="36">
    <w:p w14:paraId="325FD057" w14:textId="686D8AA9" w:rsidR="00B402A7" w:rsidRPr="009F6C66" w:rsidRDefault="00B402A7" w:rsidP="001B7BAC">
      <w:pPr>
        <w:pStyle w:val="Tekstprzypisudolnego"/>
        <w:jc w:val="both"/>
        <w:rPr>
          <w:lang w:val="en-US"/>
        </w:rPr>
      </w:pPr>
      <w:r>
        <w:rPr>
          <w:rStyle w:val="Odwoanieprzypisudolnego"/>
        </w:rPr>
        <w:footnoteRef/>
      </w:r>
      <w:r>
        <w:rPr>
          <w:rFonts w:cs="Times New Roman"/>
          <w:i/>
          <w:lang w:val="en-GB"/>
        </w:rPr>
        <w:t xml:space="preserve"> Landvreugd v the Netherlands</w:t>
      </w:r>
      <w:r w:rsidRPr="009F6C66">
        <w:rPr>
          <w:rFonts w:cs="Times New Roman"/>
          <w:lang w:val="en-GB"/>
        </w:rPr>
        <w:t xml:space="preserve"> </w:t>
      </w:r>
      <w:r w:rsidRPr="009F6C66">
        <w:rPr>
          <w:color w:val="000000"/>
          <w:shd w:val="clear" w:color="auto" w:fill="FFFFFF"/>
          <w:lang w:val="en-CA"/>
        </w:rPr>
        <w:t>(2003) 36 E.H.R.R. 56</w:t>
      </w:r>
      <w:r w:rsidRPr="009F6C66">
        <w:rPr>
          <w:rFonts w:cs="Times New Roman"/>
          <w:lang w:val="en-GB"/>
        </w:rPr>
        <w:t xml:space="preserve"> (“Landvreugd”) and </w:t>
      </w:r>
      <w:r w:rsidRPr="009F6C66">
        <w:rPr>
          <w:rFonts w:cs="Times New Roman"/>
          <w:i/>
          <w:lang w:val="en-GB"/>
        </w:rPr>
        <w:t xml:space="preserve">Olivieira v </w:t>
      </w:r>
      <w:r>
        <w:rPr>
          <w:rFonts w:cs="Times New Roman"/>
          <w:i/>
          <w:lang w:val="en-GB"/>
        </w:rPr>
        <w:t xml:space="preserve">the </w:t>
      </w:r>
      <w:r w:rsidRPr="009F6C66">
        <w:rPr>
          <w:rFonts w:cs="Times New Roman"/>
          <w:i/>
          <w:lang w:val="en-GB"/>
        </w:rPr>
        <w:t xml:space="preserve">Netherlands </w:t>
      </w:r>
      <w:r w:rsidRPr="009F6C66">
        <w:rPr>
          <w:color w:val="000000"/>
          <w:shd w:val="clear" w:color="auto" w:fill="FFFFFF"/>
          <w:lang w:val="en-CA"/>
        </w:rPr>
        <w:t>(2003) 37 E.H.R.R. 32; 14 B.H.R.C. 96</w:t>
      </w:r>
      <w:r w:rsidRPr="009F6C66">
        <w:rPr>
          <w:rFonts w:cs="Times New Roman"/>
          <w:lang w:val="en-GB"/>
        </w:rPr>
        <w:t xml:space="preserve"> (“Olivieira”).</w:t>
      </w:r>
    </w:p>
  </w:footnote>
  <w:footnote w:id="37">
    <w:p w14:paraId="180874C5" w14:textId="2A5E06C6" w:rsidR="00B402A7" w:rsidRPr="00734368" w:rsidRDefault="00B402A7" w:rsidP="001B7BAC">
      <w:pPr>
        <w:pStyle w:val="Tekstprzypisudolnego"/>
        <w:jc w:val="both"/>
        <w:rPr>
          <w:rFonts w:cs="Times New Roman"/>
          <w:lang w:val="en-CA"/>
        </w:rPr>
      </w:pPr>
      <w:r w:rsidRPr="00545F76">
        <w:rPr>
          <w:rStyle w:val="Odwoanieprzypisudolnego"/>
        </w:rPr>
        <w:footnoteRef/>
      </w:r>
      <w:r w:rsidRPr="006B31CF">
        <w:rPr>
          <w:lang w:val="es-ES"/>
        </w:rPr>
        <w:t xml:space="preserve"> </w:t>
      </w:r>
      <w:r w:rsidRPr="006B31CF">
        <w:rPr>
          <w:i/>
          <w:lang w:val="es-ES"/>
        </w:rPr>
        <w:t xml:space="preserve">Landvreugd, </w:t>
      </w:r>
      <w:r w:rsidRPr="006B31CF">
        <w:rPr>
          <w:lang w:val="es-ES"/>
        </w:rPr>
        <w:t xml:space="preserve">para.68 and </w:t>
      </w:r>
      <w:r w:rsidRPr="006B31CF">
        <w:rPr>
          <w:i/>
          <w:lang w:val="es-ES"/>
        </w:rPr>
        <w:t>Olivieira</w:t>
      </w:r>
      <w:r w:rsidRPr="006B31CF">
        <w:rPr>
          <w:lang w:val="es-ES"/>
        </w:rPr>
        <w:t>, para.61</w:t>
      </w:r>
      <w:r w:rsidRPr="006B31CF">
        <w:rPr>
          <w:rFonts w:cs="Times New Roman"/>
          <w:lang w:val="es-ES"/>
        </w:rPr>
        <w:t>.</w:t>
      </w:r>
      <w:r>
        <w:rPr>
          <w:rFonts w:cs="Times New Roman"/>
          <w:lang w:val="es-ES"/>
        </w:rPr>
        <w:t xml:space="preserve"> </w:t>
      </w:r>
      <w:r>
        <w:rPr>
          <w:lang w:val="en-US"/>
        </w:rPr>
        <w:t xml:space="preserve">As already pointed out by Lord Bingham of Cornhill in </w:t>
      </w:r>
      <w:hyperlink r:id="rId3" w:history="1">
        <w:r w:rsidRPr="00545F76">
          <w:rPr>
            <w:rFonts w:cs="Times New Roman"/>
            <w:i/>
            <w:lang w:val="en-CA"/>
          </w:rPr>
          <w:t>Secretary of State for the Home Department v MB</w:t>
        </w:r>
        <w:r w:rsidRPr="00545F76">
          <w:rPr>
            <w:rFonts w:cs="Times New Roman"/>
            <w:lang w:val="en-CA"/>
          </w:rPr>
          <w:t xml:space="preserve"> [2007] UKHL 46</w:t>
        </w:r>
      </w:hyperlink>
      <w:r>
        <w:rPr>
          <w:rFonts w:cs="Times New Roman"/>
          <w:lang w:val="en-CA"/>
        </w:rPr>
        <w:t>, para.23.</w:t>
      </w:r>
    </w:p>
  </w:footnote>
  <w:footnote w:id="38">
    <w:p w14:paraId="7030D44F" w14:textId="71B51E7F" w:rsidR="00B402A7" w:rsidRPr="00397331" w:rsidRDefault="00B402A7" w:rsidP="001B7BAC">
      <w:pPr>
        <w:pStyle w:val="Tekstprzypisudolnego"/>
        <w:jc w:val="both"/>
        <w:rPr>
          <w:lang w:val="en-US"/>
        </w:rPr>
      </w:pPr>
      <w:r w:rsidRPr="00E11DAC">
        <w:rPr>
          <w:rStyle w:val="Odwoanieprzypisudolnego"/>
        </w:rPr>
        <w:footnoteRef/>
      </w:r>
      <w:r w:rsidRPr="00E11DAC">
        <w:rPr>
          <w:lang w:val="en-US"/>
        </w:rPr>
        <w:t xml:space="preserve"> </w:t>
      </w:r>
      <w:r>
        <w:rPr>
          <w:lang w:val="en-US"/>
        </w:rPr>
        <w:t>See</w:t>
      </w:r>
      <w:r w:rsidRPr="00E11DAC">
        <w:rPr>
          <w:lang w:val="en-US"/>
        </w:rPr>
        <w:t xml:space="preserve"> </w:t>
      </w:r>
      <w:hyperlink r:id="rId4" w:history="1">
        <w:r w:rsidRPr="00E11DAC">
          <w:rPr>
            <w:rStyle w:val="Hipercze"/>
            <w:lang w:val="en-US"/>
          </w:rPr>
          <w:t>http://www.echr.coe.int/Documents/Guide_Art_6_ENG.pdf</w:t>
        </w:r>
      </w:hyperlink>
      <w:r w:rsidRPr="00E11DAC">
        <w:rPr>
          <w:lang w:val="en-US"/>
        </w:rPr>
        <w:t xml:space="preserve"> (Accessed July 27, 2016), pp.6-13.</w:t>
      </w:r>
    </w:p>
  </w:footnote>
  <w:footnote w:id="39">
    <w:p w14:paraId="7394E68F" w14:textId="12C3C558" w:rsidR="00B402A7" w:rsidRPr="00797248" w:rsidRDefault="00B402A7" w:rsidP="001B7BAC">
      <w:pPr>
        <w:pStyle w:val="Tekstprzypisudolnego"/>
        <w:jc w:val="both"/>
        <w:rPr>
          <w:lang w:val="en-US"/>
        </w:rPr>
      </w:pPr>
      <w:r w:rsidRPr="00397331">
        <w:rPr>
          <w:rStyle w:val="Odwoanieprzypisudolnego"/>
        </w:rPr>
        <w:footnoteRef/>
      </w:r>
      <w:r w:rsidRPr="00BE23B4">
        <w:rPr>
          <w:lang w:val="en-US"/>
        </w:rPr>
        <w:t xml:space="preserve"> </w:t>
      </w:r>
      <w:r w:rsidRPr="00BE23B4">
        <w:rPr>
          <w:i/>
          <w:lang w:val="en-US"/>
        </w:rPr>
        <w:t>Cf.</w:t>
      </w:r>
      <w:r w:rsidRPr="00BE23B4">
        <w:rPr>
          <w:lang w:val="en-US"/>
        </w:rPr>
        <w:t xml:space="preserve"> </w:t>
      </w:r>
      <w:r w:rsidRPr="00BE23B4">
        <w:rPr>
          <w:i/>
          <w:lang w:val="en-US"/>
        </w:rPr>
        <w:t>Alexandre v Portugal</w:t>
      </w:r>
      <w:r w:rsidRPr="00BE23B4">
        <w:rPr>
          <w:lang w:val="en-US"/>
        </w:rPr>
        <w:t xml:space="preserve"> </w:t>
      </w:r>
      <w:r w:rsidRPr="00BE23B4">
        <w:rPr>
          <w:i/>
          <w:lang w:val="en-US"/>
        </w:rPr>
        <w:t>(App. No.33197</w:t>
      </w:r>
      <w:r>
        <w:rPr>
          <w:i/>
          <w:lang w:val="en-US"/>
        </w:rPr>
        <w:t>)</w:t>
      </w:r>
      <w:r w:rsidRPr="00BE23B4">
        <w:rPr>
          <w:i/>
          <w:lang w:val="en-US"/>
        </w:rPr>
        <w:t xml:space="preserve">, judgement of November 20, 2012, </w:t>
      </w:r>
      <w:r w:rsidRPr="00BE23B4">
        <w:rPr>
          <w:lang w:val="en-US"/>
        </w:rPr>
        <w:t xml:space="preserve">paras.51 and 54. </w:t>
      </w:r>
      <w:r w:rsidRPr="00397331">
        <w:rPr>
          <w:lang w:val="en-US"/>
        </w:rPr>
        <w:t>See also</w:t>
      </w:r>
      <w:r w:rsidRPr="00D35E57">
        <w:rPr>
          <w:lang w:val="en-US"/>
        </w:rPr>
        <w:t xml:space="preserve"> </w:t>
      </w:r>
      <w:r>
        <w:rPr>
          <w:lang w:val="en-US"/>
        </w:rPr>
        <w:t xml:space="preserve"> </w:t>
      </w:r>
      <w:hyperlink r:id="rId5" w:history="1">
        <w:r w:rsidRPr="00C43728">
          <w:rPr>
            <w:rStyle w:val="Hipercze"/>
            <w:lang w:val="en-US"/>
          </w:rPr>
          <w:t>http://www.echr.coe.int/Documents/Guide_Art_6_ENG.pdf</w:t>
        </w:r>
      </w:hyperlink>
      <w:r w:rsidRPr="00C43728">
        <w:rPr>
          <w:lang w:val="en-US"/>
        </w:rPr>
        <w:t xml:space="preserve"> </w:t>
      </w:r>
      <w:r>
        <w:rPr>
          <w:lang w:val="en-US"/>
        </w:rPr>
        <w:t>(Accessed July 27, 2016),</w:t>
      </w:r>
      <w:r w:rsidRPr="00C43728">
        <w:rPr>
          <w:lang w:val="en-US"/>
        </w:rPr>
        <w:t xml:space="preserve"> p.11</w:t>
      </w:r>
      <w:r>
        <w:rPr>
          <w:lang w:val="en-US"/>
        </w:rPr>
        <w:t>.</w:t>
      </w:r>
    </w:p>
  </w:footnote>
  <w:footnote w:id="40">
    <w:p w14:paraId="61D53A48" w14:textId="77777777" w:rsidR="00B402A7" w:rsidRPr="001E244D" w:rsidRDefault="00B402A7" w:rsidP="001B7BAC">
      <w:pPr>
        <w:spacing w:after="0" w:line="240" w:lineRule="auto"/>
        <w:jc w:val="both"/>
        <w:rPr>
          <w:sz w:val="20"/>
          <w:szCs w:val="20"/>
          <w:lang w:val="en-US"/>
        </w:rPr>
      </w:pPr>
      <w:r w:rsidRPr="00995C32">
        <w:rPr>
          <w:rStyle w:val="Odwoanieprzypisudolnego"/>
          <w:sz w:val="20"/>
          <w:szCs w:val="20"/>
        </w:rPr>
        <w:footnoteRef/>
      </w:r>
      <w:r w:rsidRPr="00995C32">
        <w:rPr>
          <w:sz w:val="20"/>
          <w:szCs w:val="20"/>
          <w:lang w:val="en-US"/>
        </w:rPr>
        <w:t xml:space="preserve"> RvS May 8, 2014, No.227.331, </w:t>
      </w:r>
      <w:r w:rsidRPr="00B224F3">
        <w:rPr>
          <w:smallCaps/>
          <w:sz w:val="20"/>
          <w:szCs w:val="20"/>
          <w:lang w:val="en-US"/>
        </w:rPr>
        <w:t>BVBA</w:t>
      </w:r>
      <w:r w:rsidRPr="00B224F3">
        <w:rPr>
          <w:sz w:val="20"/>
          <w:szCs w:val="20"/>
          <w:lang w:val="en-US"/>
        </w:rPr>
        <w:t xml:space="preserve"> </w:t>
      </w:r>
      <w:r w:rsidRPr="00995C32">
        <w:rPr>
          <w:sz w:val="20"/>
          <w:szCs w:val="20"/>
          <w:lang w:val="en-US"/>
        </w:rPr>
        <w:t xml:space="preserve">Wedwinkel, </w:t>
      </w:r>
      <w:r>
        <w:rPr>
          <w:sz w:val="20"/>
          <w:szCs w:val="20"/>
          <w:lang w:val="en-US"/>
        </w:rPr>
        <w:t>para.</w:t>
      </w:r>
      <w:r w:rsidRPr="00995C32">
        <w:rPr>
          <w:sz w:val="20"/>
          <w:szCs w:val="20"/>
          <w:lang w:val="en-US"/>
        </w:rPr>
        <w:t xml:space="preserve">20; RvS May 15, 2014, No.227.421, </w:t>
      </w:r>
      <w:r w:rsidRPr="00B224F3">
        <w:rPr>
          <w:smallCaps/>
          <w:sz w:val="20"/>
          <w:szCs w:val="20"/>
          <w:lang w:val="en-US"/>
        </w:rPr>
        <w:t>BVBA</w:t>
      </w:r>
      <w:r w:rsidRPr="00B224F3">
        <w:rPr>
          <w:sz w:val="20"/>
          <w:szCs w:val="20"/>
          <w:lang w:val="en-US"/>
        </w:rPr>
        <w:t xml:space="preserve"> </w:t>
      </w:r>
      <w:r w:rsidRPr="00995C32">
        <w:rPr>
          <w:sz w:val="20"/>
          <w:szCs w:val="20"/>
          <w:lang w:val="en-US"/>
        </w:rPr>
        <w:t xml:space="preserve">Buka 2000, </w:t>
      </w:r>
      <w:r>
        <w:rPr>
          <w:sz w:val="20"/>
          <w:szCs w:val="20"/>
          <w:lang w:val="en-US"/>
        </w:rPr>
        <w:t>para.</w:t>
      </w:r>
      <w:r w:rsidRPr="00995C32">
        <w:rPr>
          <w:sz w:val="20"/>
          <w:szCs w:val="20"/>
          <w:lang w:val="en-US"/>
        </w:rPr>
        <w:t xml:space="preserve">7 </w:t>
      </w:r>
      <w:r>
        <w:rPr>
          <w:sz w:val="20"/>
          <w:szCs w:val="20"/>
          <w:lang w:val="en-US"/>
        </w:rPr>
        <w:t>and</w:t>
      </w:r>
      <w:r w:rsidRPr="00995C32">
        <w:rPr>
          <w:sz w:val="20"/>
          <w:szCs w:val="20"/>
          <w:lang w:val="en-US"/>
        </w:rPr>
        <w:t xml:space="preserve"> RvS</w:t>
      </w:r>
      <w:r>
        <w:rPr>
          <w:sz w:val="20"/>
          <w:szCs w:val="20"/>
          <w:lang w:val="en-US"/>
        </w:rPr>
        <w:t xml:space="preserve"> July</w:t>
      </w:r>
      <w:r w:rsidRPr="00995C32">
        <w:rPr>
          <w:sz w:val="20"/>
          <w:szCs w:val="20"/>
          <w:lang w:val="en-US"/>
        </w:rPr>
        <w:t xml:space="preserve"> </w:t>
      </w:r>
      <w:r w:rsidRPr="00995C32">
        <w:rPr>
          <w:rFonts w:cs="Times New Roman"/>
          <w:sz w:val="20"/>
          <w:szCs w:val="20"/>
          <w:lang w:val="en-US"/>
        </w:rPr>
        <w:t>29</w:t>
      </w:r>
      <w:r>
        <w:rPr>
          <w:rFonts w:cs="Times New Roman"/>
          <w:sz w:val="20"/>
          <w:szCs w:val="20"/>
          <w:lang w:val="en-US"/>
        </w:rPr>
        <w:t>, 2014, No.</w:t>
      </w:r>
      <w:r w:rsidRPr="00995C32">
        <w:rPr>
          <w:rFonts w:cs="Times New Roman"/>
          <w:sz w:val="20"/>
          <w:szCs w:val="20"/>
          <w:lang w:val="en-US"/>
        </w:rPr>
        <w:t>228.130</w:t>
      </w:r>
      <w:r w:rsidRPr="00995C32">
        <w:rPr>
          <w:sz w:val="20"/>
          <w:szCs w:val="20"/>
          <w:lang w:val="en-US"/>
        </w:rPr>
        <w:t xml:space="preserve">, </w:t>
      </w:r>
      <w:r w:rsidRPr="00B224F3">
        <w:rPr>
          <w:smallCaps/>
          <w:sz w:val="20"/>
          <w:szCs w:val="20"/>
          <w:lang w:val="en-US"/>
        </w:rPr>
        <w:t>BVBA</w:t>
      </w:r>
      <w:r w:rsidRPr="00B224F3">
        <w:rPr>
          <w:sz w:val="20"/>
          <w:szCs w:val="20"/>
          <w:lang w:val="en-US"/>
        </w:rPr>
        <w:t xml:space="preserve"> </w:t>
      </w:r>
      <w:r w:rsidRPr="00995C32">
        <w:rPr>
          <w:sz w:val="20"/>
          <w:szCs w:val="20"/>
          <w:lang w:val="en-US"/>
        </w:rPr>
        <w:t xml:space="preserve">HS-Trading, </w:t>
      </w:r>
      <w:r>
        <w:rPr>
          <w:sz w:val="20"/>
          <w:szCs w:val="20"/>
          <w:lang w:val="en-US"/>
        </w:rPr>
        <w:t>para.8</w:t>
      </w:r>
      <w:r w:rsidRPr="00995C32">
        <w:rPr>
          <w:sz w:val="20"/>
          <w:szCs w:val="20"/>
          <w:lang w:val="en-US"/>
        </w:rPr>
        <w:t xml:space="preserve">. </w:t>
      </w:r>
      <w:r w:rsidRPr="001E244D">
        <w:rPr>
          <w:sz w:val="20"/>
          <w:szCs w:val="20"/>
          <w:lang w:val="en-US"/>
        </w:rPr>
        <w:t xml:space="preserve">See also adv.RvS, </w:t>
      </w:r>
      <w:r w:rsidRPr="001E244D">
        <w:rPr>
          <w:i/>
          <w:sz w:val="20"/>
          <w:szCs w:val="20"/>
          <w:lang w:val="en-US"/>
        </w:rPr>
        <w:t xml:space="preserve">Parl.St. </w:t>
      </w:r>
      <w:r w:rsidRPr="001E244D">
        <w:rPr>
          <w:sz w:val="20"/>
          <w:szCs w:val="20"/>
          <w:lang w:val="en-US"/>
        </w:rPr>
        <w:t>Kamer 2012-13, No.53-2712/001, pp.61-62.</w:t>
      </w:r>
    </w:p>
  </w:footnote>
  <w:footnote w:id="41">
    <w:p w14:paraId="3FD1D450" w14:textId="1939633A" w:rsidR="00B402A7" w:rsidRPr="00C76610" w:rsidRDefault="00B402A7" w:rsidP="001B7BAC">
      <w:pPr>
        <w:pStyle w:val="Tekstprzypisudolnego"/>
        <w:jc w:val="both"/>
        <w:rPr>
          <w:lang w:val="en-CA"/>
        </w:rPr>
      </w:pPr>
      <w:r>
        <w:rPr>
          <w:rStyle w:val="Odwoanieprzypisudolnego"/>
        </w:rPr>
        <w:footnoteRef/>
      </w:r>
      <w:r w:rsidRPr="00C76610">
        <w:rPr>
          <w:lang w:val="en-CA"/>
        </w:rPr>
        <w:t xml:space="preserve"> </w:t>
      </w:r>
      <w:r>
        <w:rPr>
          <w:lang w:val="en-CA"/>
        </w:rPr>
        <w:t>Art.134</w:t>
      </w:r>
      <w:r>
        <w:rPr>
          <w:i/>
          <w:lang w:val="en-CA"/>
        </w:rPr>
        <w:t>sexies</w:t>
      </w:r>
      <w:r>
        <w:rPr>
          <w:lang w:val="en-CA"/>
        </w:rPr>
        <w:t>, §1 NMA.</w:t>
      </w:r>
    </w:p>
  </w:footnote>
  <w:footnote w:id="42">
    <w:p w14:paraId="4C29C5CE" w14:textId="2292DA46" w:rsidR="00B402A7" w:rsidRPr="00FF389C" w:rsidRDefault="00B402A7" w:rsidP="001B7BAC">
      <w:pPr>
        <w:pStyle w:val="Tekstprzypisudolnego"/>
        <w:jc w:val="both"/>
        <w:rPr>
          <w:lang w:val="en-US"/>
        </w:rPr>
      </w:pPr>
      <w:r w:rsidRPr="00AD18DC">
        <w:rPr>
          <w:rStyle w:val="Odwoanieprzypisudolnego"/>
        </w:rPr>
        <w:footnoteRef/>
      </w:r>
      <w:r w:rsidRPr="00FF389C">
        <w:rPr>
          <w:lang w:val="en-US"/>
        </w:rPr>
        <w:t xml:space="preserve"> See also Memorie van toelichting, </w:t>
      </w:r>
      <w:r w:rsidRPr="00FF389C">
        <w:rPr>
          <w:i/>
          <w:lang w:val="en-US"/>
        </w:rPr>
        <w:t xml:space="preserve">Parl.St. </w:t>
      </w:r>
      <w:r w:rsidRPr="00FF389C">
        <w:rPr>
          <w:lang w:val="en-US"/>
        </w:rPr>
        <w:t>Kamer 2012-13, No.53-2712/001, pp.5 and 28.</w:t>
      </w:r>
    </w:p>
  </w:footnote>
  <w:footnote w:id="43">
    <w:p w14:paraId="79964E05" w14:textId="77777777" w:rsidR="00B402A7" w:rsidRPr="004D263E" w:rsidRDefault="00B402A7" w:rsidP="001B7BAC">
      <w:pPr>
        <w:pStyle w:val="Tekstprzypisudolnego"/>
        <w:jc w:val="both"/>
        <w:rPr>
          <w:lang w:val="en-CA"/>
        </w:rPr>
      </w:pPr>
      <w:r>
        <w:rPr>
          <w:rStyle w:val="Odwoanieprzypisudolnego"/>
        </w:rPr>
        <w:footnoteRef/>
      </w:r>
      <w:r w:rsidRPr="004D263E">
        <w:rPr>
          <w:lang w:val="en-CA"/>
        </w:rPr>
        <w:t xml:space="preserve"> </w:t>
      </w:r>
      <w:r w:rsidRPr="00B27A04">
        <w:rPr>
          <w:lang w:val="en-CA"/>
        </w:rPr>
        <w:t>GwH Apr</w:t>
      </w:r>
      <w:r>
        <w:rPr>
          <w:lang w:val="en-CA"/>
        </w:rPr>
        <w:t>il 23, 2015, No.44/2015 paras.B.57.7-B.57.8.</w:t>
      </w:r>
    </w:p>
  </w:footnote>
  <w:footnote w:id="44">
    <w:p w14:paraId="163BFC05" w14:textId="77777777" w:rsidR="00B402A7" w:rsidRPr="00FF6154" w:rsidRDefault="00B402A7" w:rsidP="001B7BAC">
      <w:pPr>
        <w:pStyle w:val="Tekstprzypisudolnego"/>
        <w:jc w:val="both"/>
      </w:pPr>
      <w:r>
        <w:rPr>
          <w:rStyle w:val="Odwoanieprzypisudolnego"/>
        </w:rPr>
        <w:footnoteRef/>
      </w:r>
      <w:r w:rsidRPr="001E7268">
        <w:t xml:space="preserve"> Tessa Allewaert, “Recente ontwikkelingen inzake gemeentelijke administratieve sancties: de wet van 24 juni </w:t>
      </w:r>
      <w:r w:rsidRPr="00FF6154">
        <w:t xml:space="preserve">2013” in Steven Lierman (ed), </w:t>
      </w:r>
      <w:r w:rsidRPr="00FF6154">
        <w:rPr>
          <w:i/>
        </w:rPr>
        <w:t>Actualia gemeenterecht</w:t>
      </w:r>
      <w:r w:rsidRPr="00FF6154">
        <w:t xml:space="preserve"> (die Keure, 2013), p.68.</w:t>
      </w:r>
    </w:p>
  </w:footnote>
  <w:footnote w:id="45">
    <w:p w14:paraId="0E73227C" w14:textId="7F4A239D" w:rsidR="00B402A7" w:rsidRPr="001E7268" w:rsidRDefault="00B402A7" w:rsidP="001B7BAC">
      <w:pPr>
        <w:pStyle w:val="Tekstprzypisudolnego"/>
        <w:jc w:val="both"/>
        <w:rPr>
          <w:lang w:val="en-CA"/>
        </w:rPr>
      </w:pPr>
      <w:r>
        <w:rPr>
          <w:rStyle w:val="Odwoanieprzypisudolnego"/>
        </w:rPr>
        <w:footnoteRef/>
      </w:r>
      <w:r w:rsidRPr="001E7268">
        <w:rPr>
          <w:lang w:val="en-CA"/>
        </w:rPr>
        <w:t xml:space="preserve"> </w:t>
      </w:r>
      <w:r>
        <w:rPr>
          <w:lang w:val="en-CA"/>
        </w:rPr>
        <w:t xml:space="preserve">This does not mean that administrative sanctions do not exist in the United Kingdom; see, e.g. Part 3 of the Regulatory Enforcement and Sanctions Act 2008, enabling regulatory bodies to impose administrative sanctions for regulatory breaches. However, it is still a developing field and a clear distinction </w:t>
      </w:r>
      <w:r w:rsidRPr="00186F6D">
        <w:rPr>
          <w:lang w:val="en-CA"/>
        </w:rPr>
        <w:t xml:space="preserve">between criminal and administrative </w:t>
      </w:r>
      <w:r w:rsidRPr="000339D8">
        <w:rPr>
          <w:lang w:val="en-CA"/>
        </w:rPr>
        <w:t xml:space="preserve">sanctions has yet to emerge (see, e.g. </w:t>
      </w:r>
      <w:r w:rsidRPr="000339D8">
        <w:rPr>
          <w:rFonts w:cs="Times New Roman"/>
          <w:color w:val="000000"/>
          <w:lang w:val="en-US"/>
        </w:rPr>
        <w:t>John McELdowney, “Country analysis - United Kingdom” in</w:t>
      </w:r>
      <w:r w:rsidRPr="000339D8">
        <w:rPr>
          <w:rFonts w:cs="Times New Roman"/>
          <w:i/>
          <w:caps/>
          <w:color w:val="000000"/>
          <w:lang w:val="en-US"/>
        </w:rPr>
        <w:t xml:space="preserve"> </w:t>
      </w:r>
      <w:r w:rsidRPr="000339D8">
        <w:rPr>
          <w:rFonts w:cs="Helvetica"/>
          <w:kern w:val="36"/>
          <w:lang w:val="en-GB"/>
        </w:rPr>
        <w:t>Oswald Jansen</w:t>
      </w:r>
      <w:r w:rsidRPr="000339D8">
        <w:rPr>
          <w:rFonts w:cs="Helvetica"/>
          <w:lang w:val="en-GB"/>
        </w:rPr>
        <w:t>,</w:t>
      </w:r>
      <w:r w:rsidRPr="000339D8">
        <w:rPr>
          <w:rFonts w:cs="Helvetica"/>
          <w:kern w:val="36"/>
          <w:lang w:val="en-GB"/>
        </w:rPr>
        <w:t xml:space="preserve"> </w:t>
      </w:r>
      <w:r w:rsidRPr="000339D8">
        <w:rPr>
          <w:rFonts w:cs="Helvetica"/>
          <w:i/>
          <w:kern w:val="36"/>
          <w:lang w:val="en-GB"/>
        </w:rPr>
        <w:t xml:space="preserve">Administrative Sanctions in the European Union </w:t>
      </w:r>
      <w:r w:rsidRPr="000339D8">
        <w:rPr>
          <w:rFonts w:cs="Helvetica"/>
          <w:kern w:val="36"/>
          <w:lang w:val="en-GB"/>
        </w:rPr>
        <w:t>(</w:t>
      </w:r>
      <w:r w:rsidRPr="000339D8">
        <w:rPr>
          <w:rFonts w:cs="Helvetica"/>
          <w:lang w:val="en-GB"/>
        </w:rPr>
        <w:t>Intersentia, 2013), p.585).</w:t>
      </w:r>
      <w:r>
        <w:rPr>
          <w:rFonts w:cs="Helvetica"/>
          <w:lang w:val="en-GB"/>
        </w:rPr>
        <w:t xml:space="preserve"> nevertheless, given the fact that these administrative sanctions are not primarily imposed to maintain public order as such, they fall outside the scope of this contribution.</w:t>
      </w:r>
    </w:p>
  </w:footnote>
  <w:footnote w:id="46">
    <w:p w14:paraId="7319EF57" w14:textId="6829E710" w:rsidR="00B402A7" w:rsidRPr="0000658B" w:rsidRDefault="00B402A7" w:rsidP="001B7BAC">
      <w:pPr>
        <w:pStyle w:val="Tekstprzypisudolnego"/>
        <w:jc w:val="both"/>
        <w:rPr>
          <w:lang w:val="en-CA"/>
        </w:rPr>
      </w:pPr>
      <w:r w:rsidRPr="0000658B">
        <w:rPr>
          <w:rStyle w:val="Odwoanieprzypisudolnego"/>
        </w:rPr>
        <w:footnoteRef/>
      </w:r>
      <w:r w:rsidRPr="0000658B">
        <w:rPr>
          <w:lang w:val="en-CA"/>
        </w:rPr>
        <w:t xml:space="preserve"> </w:t>
      </w:r>
      <w:r>
        <w:rPr>
          <w:rFonts w:cs="Times New Roman"/>
          <w:lang w:val="en-CA"/>
        </w:rPr>
        <w:t>N</w:t>
      </w:r>
      <w:r w:rsidRPr="0000658B">
        <w:rPr>
          <w:rFonts w:cs="Times New Roman"/>
          <w:lang w:val="en-CA"/>
        </w:rPr>
        <w:t xml:space="preserve">ote that, in the United </w:t>
      </w:r>
      <w:r>
        <w:rPr>
          <w:rFonts w:cs="Times New Roman"/>
          <w:lang w:val="en-CA"/>
        </w:rPr>
        <w:t>Kingdom, the notion ‘civil’ is</w:t>
      </w:r>
      <w:r w:rsidRPr="0000658B">
        <w:rPr>
          <w:rFonts w:cs="Times New Roman"/>
          <w:lang w:val="en-CA"/>
        </w:rPr>
        <w:t xml:space="preserve"> rather conceived as ‘not criminal’, whereas in continental legal systems, such as Belgium, it is rather conceived as the opposite of ‘administrative’</w:t>
      </w:r>
      <w:r>
        <w:rPr>
          <w:rFonts w:cs="Times New Roman"/>
          <w:lang w:val="en-CA"/>
        </w:rPr>
        <w:t>.</w:t>
      </w:r>
    </w:p>
  </w:footnote>
  <w:footnote w:id="47">
    <w:p w14:paraId="60F101C8" w14:textId="6B737666" w:rsidR="00B402A7" w:rsidRPr="002148C4" w:rsidRDefault="00B402A7" w:rsidP="001B7BAC">
      <w:pPr>
        <w:pStyle w:val="Tekstprzypisudolnego"/>
        <w:jc w:val="both"/>
        <w:rPr>
          <w:lang w:val="en-CA"/>
        </w:rPr>
      </w:pPr>
      <w:r>
        <w:rPr>
          <w:rStyle w:val="Odwoanieprzypisudolnego"/>
        </w:rPr>
        <w:footnoteRef/>
      </w:r>
      <w:r w:rsidRPr="002148C4">
        <w:rPr>
          <w:lang w:val="en-CA"/>
        </w:rPr>
        <w:t xml:space="preserve"> See art.35(2) ACPA.</w:t>
      </w:r>
    </w:p>
  </w:footnote>
  <w:footnote w:id="48">
    <w:p w14:paraId="2D950D78" w14:textId="7CC2D1E0" w:rsidR="00B402A7" w:rsidRPr="0000658B" w:rsidRDefault="00B402A7" w:rsidP="001B7BAC">
      <w:pPr>
        <w:pStyle w:val="Tekstprzypisudolnego"/>
        <w:jc w:val="both"/>
        <w:rPr>
          <w:lang w:val="en-CA"/>
        </w:rPr>
      </w:pPr>
      <w:r w:rsidRPr="0000658B">
        <w:rPr>
          <w:rStyle w:val="Odwoanieprzypisudolnego"/>
        </w:rPr>
        <w:footnoteRef/>
      </w:r>
      <w:r w:rsidRPr="0000658B">
        <w:rPr>
          <w:lang w:val="en-CA"/>
        </w:rPr>
        <w:t xml:space="preserve"> </w:t>
      </w:r>
      <w:r>
        <w:rPr>
          <w:i/>
          <w:lang w:val="en-CA"/>
        </w:rPr>
        <w:t>Ibid</w:t>
      </w:r>
      <w:r w:rsidRPr="0000658B">
        <w:rPr>
          <w:lang w:val="en-CA"/>
        </w:rPr>
        <w:t>.</w:t>
      </w:r>
    </w:p>
  </w:footnote>
  <w:footnote w:id="49">
    <w:p w14:paraId="404E2DF0" w14:textId="77777777" w:rsidR="00B402A7" w:rsidRPr="002409BF" w:rsidRDefault="00B402A7" w:rsidP="001B7BAC">
      <w:pPr>
        <w:autoSpaceDE w:val="0"/>
        <w:autoSpaceDN w:val="0"/>
        <w:adjustRightInd w:val="0"/>
        <w:spacing w:after="0" w:line="240" w:lineRule="auto"/>
        <w:jc w:val="both"/>
        <w:rPr>
          <w:i/>
          <w:sz w:val="20"/>
          <w:szCs w:val="20"/>
          <w:lang w:val="en-CA"/>
        </w:rPr>
      </w:pPr>
      <w:r w:rsidRPr="002409BF">
        <w:rPr>
          <w:rStyle w:val="Odwoanieprzypisudolnego"/>
          <w:sz w:val="20"/>
          <w:szCs w:val="20"/>
        </w:rPr>
        <w:footnoteRef/>
      </w:r>
      <w:r w:rsidRPr="002409BF">
        <w:rPr>
          <w:sz w:val="20"/>
          <w:szCs w:val="20"/>
          <w:lang w:val="en-CA"/>
        </w:rPr>
        <w:t xml:space="preserve"> </w:t>
      </w:r>
      <w:r w:rsidRPr="002409BF">
        <w:rPr>
          <w:sz w:val="20"/>
          <w:szCs w:val="20"/>
          <w:lang w:val="en-US"/>
        </w:rPr>
        <w:t>Adam Crawford, “</w:t>
      </w:r>
      <w:r w:rsidRPr="002409BF">
        <w:rPr>
          <w:rFonts w:cs="Times New Roman"/>
          <w:sz w:val="20"/>
          <w:szCs w:val="20"/>
          <w:lang w:val="en-US"/>
        </w:rPr>
        <w:t>Dispersal Powers and the Symbolic Role of Anti-Social</w:t>
      </w:r>
      <w:r>
        <w:rPr>
          <w:rFonts w:cs="Times New Roman"/>
          <w:sz w:val="20"/>
          <w:szCs w:val="20"/>
          <w:lang w:val="en-US"/>
        </w:rPr>
        <w:t xml:space="preserve"> </w:t>
      </w:r>
      <w:r w:rsidRPr="002409BF">
        <w:rPr>
          <w:rFonts w:cs="Times New Roman"/>
          <w:sz w:val="20"/>
          <w:szCs w:val="20"/>
          <w:lang w:val="en-US"/>
        </w:rPr>
        <w:t>Behaviour Legislation</w:t>
      </w:r>
      <w:r w:rsidRPr="002409BF">
        <w:rPr>
          <w:sz w:val="20"/>
          <w:szCs w:val="20"/>
          <w:lang w:val="en-US"/>
        </w:rPr>
        <w:t xml:space="preserve">” (2008) 71(5) MLR </w:t>
      </w:r>
      <w:r>
        <w:rPr>
          <w:sz w:val="20"/>
          <w:szCs w:val="20"/>
          <w:lang w:val="en-US"/>
        </w:rPr>
        <w:t xml:space="preserve">753, </w:t>
      </w:r>
      <w:r w:rsidRPr="002409BF">
        <w:rPr>
          <w:rFonts w:cs="Times New Roman"/>
          <w:sz w:val="20"/>
          <w:szCs w:val="20"/>
          <w:lang w:val="en-US"/>
        </w:rPr>
        <w:t xml:space="preserve">777. </w:t>
      </w:r>
      <w:r w:rsidRPr="002409BF">
        <w:rPr>
          <w:sz w:val="20"/>
          <w:szCs w:val="20"/>
          <w:lang w:val="en-CA"/>
        </w:rPr>
        <w:t>Although Crawford’s contribution relates to the old dispersal powers, the same reasoning can be applied to the new direction to leave since both orders can already be imposed when problematic</w:t>
      </w:r>
      <w:r>
        <w:rPr>
          <w:sz w:val="20"/>
          <w:szCs w:val="20"/>
          <w:lang w:val="en-CA"/>
        </w:rPr>
        <w:t xml:space="preserve"> behaviour</w:t>
      </w:r>
      <w:r w:rsidRPr="002409BF">
        <w:rPr>
          <w:sz w:val="20"/>
          <w:szCs w:val="20"/>
          <w:lang w:val="en-CA"/>
        </w:rPr>
        <w:t xml:space="preserve"> is</w:t>
      </w:r>
      <w:r w:rsidRPr="002409BF">
        <w:rPr>
          <w:i/>
          <w:sz w:val="20"/>
          <w:szCs w:val="20"/>
          <w:lang w:val="en-CA"/>
        </w:rPr>
        <w:t xml:space="preserve"> likely </w:t>
      </w:r>
      <w:r w:rsidRPr="002409BF">
        <w:rPr>
          <w:sz w:val="20"/>
          <w:szCs w:val="20"/>
          <w:lang w:val="en-CA"/>
        </w:rPr>
        <w:t>to be committed (s.30(3) 2003 Act</w:t>
      </w:r>
      <w:r w:rsidRPr="006D49B8">
        <w:rPr>
          <w:sz w:val="20"/>
          <w:szCs w:val="20"/>
          <w:lang w:val="en-CA"/>
        </w:rPr>
        <w:t xml:space="preserve"> </w:t>
      </w:r>
      <w:r w:rsidRPr="002409BF">
        <w:rPr>
          <w:sz w:val="20"/>
          <w:szCs w:val="20"/>
          <w:lang w:val="en-CA"/>
        </w:rPr>
        <w:t>and s.35(2) 2014 Act, resp.).</w:t>
      </w:r>
    </w:p>
  </w:footnote>
  <w:footnote w:id="50">
    <w:p w14:paraId="2CEF8C5D" w14:textId="77777777" w:rsidR="00B402A7" w:rsidRPr="004223E9" w:rsidRDefault="00B402A7" w:rsidP="001B7BAC">
      <w:pPr>
        <w:spacing w:after="0" w:line="240" w:lineRule="auto"/>
        <w:jc w:val="both"/>
        <w:rPr>
          <w:rFonts w:cs="Times New Roman"/>
          <w:sz w:val="20"/>
          <w:szCs w:val="20"/>
          <w:lang w:val="en-US"/>
        </w:rPr>
      </w:pPr>
      <w:r w:rsidRPr="004223E9">
        <w:rPr>
          <w:rStyle w:val="Odwoanieprzypisudolnego"/>
          <w:sz w:val="20"/>
          <w:szCs w:val="20"/>
        </w:rPr>
        <w:footnoteRef/>
      </w:r>
      <w:r w:rsidRPr="004223E9">
        <w:rPr>
          <w:sz w:val="20"/>
          <w:szCs w:val="20"/>
          <w:lang w:val="en-CA"/>
        </w:rPr>
        <w:t xml:space="preserve"> As already stated in </w:t>
      </w:r>
      <w:hyperlink r:id="rId6" w:history="1">
        <w:r w:rsidRPr="004223E9">
          <w:rPr>
            <w:i/>
            <w:sz w:val="20"/>
            <w:szCs w:val="20"/>
            <w:lang w:val="en-US"/>
          </w:rPr>
          <w:t xml:space="preserve">Secretary of State for the Home Department v MB </w:t>
        </w:r>
        <w:r w:rsidRPr="004223E9">
          <w:rPr>
            <w:sz w:val="20"/>
            <w:szCs w:val="20"/>
            <w:lang w:val="en-US"/>
          </w:rPr>
          <w:t>[2007] UKHL</w:t>
        </w:r>
        <w:r w:rsidRPr="004223E9">
          <w:rPr>
            <w:i/>
            <w:sz w:val="20"/>
            <w:szCs w:val="20"/>
            <w:lang w:val="en-US"/>
          </w:rPr>
          <w:t xml:space="preserve"> </w:t>
        </w:r>
        <w:r w:rsidRPr="004223E9">
          <w:rPr>
            <w:sz w:val="20"/>
            <w:szCs w:val="20"/>
            <w:lang w:val="en-US"/>
          </w:rPr>
          <w:t>46</w:t>
        </w:r>
      </w:hyperlink>
      <w:r w:rsidRPr="004223E9">
        <w:rPr>
          <w:i/>
          <w:sz w:val="20"/>
          <w:szCs w:val="20"/>
          <w:lang w:val="en-US"/>
        </w:rPr>
        <w:t xml:space="preserve">, </w:t>
      </w:r>
      <w:r w:rsidRPr="004223E9">
        <w:rPr>
          <w:sz w:val="20"/>
          <w:szCs w:val="20"/>
          <w:lang w:val="en-US"/>
        </w:rPr>
        <w:t>para.</w:t>
      </w:r>
      <w:r w:rsidRPr="004223E9">
        <w:rPr>
          <w:color w:val="000000"/>
          <w:sz w:val="20"/>
          <w:szCs w:val="20"/>
          <w:shd w:val="clear" w:color="auto" w:fill="FFFFFF"/>
          <w:lang w:val="en-US"/>
        </w:rPr>
        <w:t>23.</w:t>
      </w:r>
    </w:p>
  </w:footnote>
  <w:footnote w:id="51">
    <w:p w14:paraId="0B76B761" w14:textId="58FA6B52" w:rsidR="00B402A7" w:rsidRPr="0057738D" w:rsidRDefault="00B402A7" w:rsidP="001B7BAC">
      <w:pPr>
        <w:pStyle w:val="Tekstprzypisudolnego"/>
        <w:jc w:val="both"/>
        <w:rPr>
          <w:i/>
          <w:lang w:val="en-CA"/>
        </w:rPr>
      </w:pPr>
      <w:r w:rsidRPr="004223E9">
        <w:rPr>
          <w:rStyle w:val="Odwoanieprzypisudolnego"/>
        </w:rPr>
        <w:footnoteRef/>
      </w:r>
      <w:r w:rsidRPr="004223E9">
        <w:rPr>
          <w:lang w:val="en-CA"/>
        </w:rPr>
        <w:t xml:space="preserve"> </w:t>
      </w:r>
      <w:r w:rsidRPr="004223E9">
        <w:rPr>
          <w:rFonts w:cs="Times New Roman"/>
          <w:color w:val="000000"/>
          <w:shd w:val="clear" w:color="auto" w:fill="FFFFFF"/>
          <w:lang w:val="en-CA"/>
        </w:rPr>
        <w:t>For instance, are considered to be non-criminal</w:t>
      </w:r>
      <w:r>
        <w:rPr>
          <w:rFonts w:cs="Times New Roman"/>
          <w:color w:val="000000"/>
          <w:shd w:val="clear" w:color="auto" w:fill="FFFFFF"/>
          <w:lang w:val="en-CA"/>
        </w:rPr>
        <w:t xml:space="preserve"> within the meaning of Article 6 ECHR</w:t>
      </w:r>
      <w:r w:rsidRPr="004223E9">
        <w:rPr>
          <w:rFonts w:cs="Times New Roman"/>
          <w:color w:val="000000"/>
          <w:shd w:val="clear" w:color="auto" w:fill="FFFFFF"/>
          <w:lang w:val="en-CA"/>
        </w:rPr>
        <w:t>, the above-mentioned football banning orders on complaint</w:t>
      </w:r>
      <w:r w:rsidRPr="004223E9">
        <w:rPr>
          <w:i/>
          <w:lang w:val="en-CA"/>
        </w:rPr>
        <w:t xml:space="preserve"> </w:t>
      </w:r>
      <w:r w:rsidRPr="00DA2221">
        <w:rPr>
          <w:lang w:val="en-CA"/>
        </w:rPr>
        <w:t>(</w:t>
      </w:r>
      <w:r w:rsidRPr="00DA2221">
        <w:rPr>
          <w:i/>
          <w:color w:val="000000"/>
          <w:lang w:val="en-CA"/>
        </w:rPr>
        <w:t>Gough and Smith v Chief Constable of Derbyshire</w:t>
      </w:r>
      <w:r w:rsidRPr="00DA2221">
        <w:rPr>
          <w:color w:val="000000"/>
          <w:lang w:val="en-CA"/>
        </w:rPr>
        <w:t xml:space="preserve"> [2002] Q.B. 1213 para.89)</w:t>
      </w:r>
      <w:r w:rsidRPr="00DA2221">
        <w:rPr>
          <w:i/>
          <w:color w:val="000000"/>
          <w:lang w:val="en-CA"/>
        </w:rPr>
        <w:t xml:space="preserve">. </w:t>
      </w:r>
      <w:r w:rsidRPr="00DA2221">
        <w:rPr>
          <w:color w:val="000000"/>
          <w:lang w:val="en-CA"/>
        </w:rPr>
        <w:t xml:space="preserve">The same applies to the former non-derogating control orders (see </w:t>
      </w:r>
      <w:hyperlink r:id="rId7" w:history="1">
        <w:r w:rsidRPr="0057738D">
          <w:rPr>
            <w:i/>
            <w:lang w:val="en-US"/>
          </w:rPr>
          <w:t xml:space="preserve">Secretary of State for the Home Department v MB </w:t>
        </w:r>
        <w:r w:rsidRPr="0057738D">
          <w:rPr>
            <w:lang w:val="en-US"/>
          </w:rPr>
          <w:t>[2007] UKHL</w:t>
        </w:r>
        <w:r w:rsidRPr="0057738D">
          <w:rPr>
            <w:i/>
            <w:lang w:val="en-US"/>
          </w:rPr>
          <w:t xml:space="preserve"> </w:t>
        </w:r>
        <w:r w:rsidRPr="0057738D">
          <w:rPr>
            <w:lang w:val="en-US"/>
          </w:rPr>
          <w:t>46</w:t>
        </w:r>
      </w:hyperlink>
      <w:r w:rsidRPr="0057738D">
        <w:rPr>
          <w:lang w:val="en-US"/>
        </w:rPr>
        <w:t xml:space="preserve">, </w:t>
      </w:r>
      <w:r w:rsidRPr="0057738D">
        <w:rPr>
          <w:rFonts w:cs="Times New Roman"/>
          <w:lang w:val="en-US"/>
        </w:rPr>
        <w:t>para.24).</w:t>
      </w:r>
    </w:p>
  </w:footnote>
  <w:footnote w:id="52">
    <w:p w14:paraId="3DE4EA34" w14:textId="26713E9D" w:rsidR="00B402A7" w:rsidRPr="0057738D" w:rsidRDefault="00B402A7" w:rsidP="001B7BAC">
      <w:pPr>
        <w:pStyle w:val="Tekstprzypisudolnego"/>
        <w:jc w:val="both"/>
        <w:rPr>
          <w:lang w:val="en-CA"/>
        </w:rPr>
      </w:pPr>
      <w:r w:rsidRPr="0057738D">
        <w:rPr>
          <w:rStyle w:val="Odwoanieprzypisudolnego"/>
        </w:rPr>
        <w:footnoteRef/>
      </w:r>
      <w:r w:rsidRPr="0057738D">
        <w:rPr>
          <w:lang w:val="en-CA"/>
        </w:rPr>
        <w:t xml:space="preserve"> Anti-social behaviour orders or “ASBO’s” were civil orders comprising certain prohibitions or obligations imposed by the court in order to stop problematic behaviour, such as the prohibition to </w:t>
      </w:r>
      <w:r w:rsidRPr="0057738D">
        <w:rPr>
          <w:rFonts w:cs="Arial"/>
          <w:shd w:val="clear" w:color="auto" w:fill="FFFFFF"/>
          <w:lang w:val="en-CA"/>
        </w:rPr>
        <w:t>return to a certain area</w:t>
      </w:r>
      <w:r w:rsidRPr="0057738D">
        <w:rPr>
          <w:lang w:val="en-CA"/>
        </w:rPr>
        <w:t xml:space="preserve">. They were  introduced by the Crime and Disorder Act 1998 and were </w:t>
      </w:r>
      <w:r w:rsidRPr="0057738D">
        <w:rPr>
          <w:rFonts w:cs="Arial"/>
          <w:shd w:val="clear" w:color="auto" w:fill="FFFFFF"/>
          <w:lang w:val="en-CA"/>
        </w:rPr>
        <w:t>superseded</w:t>
      </w:r>
      <w:r w:rsidRPr="0057738D">
        <w:rPr>
          <w:rStyle w:val="apple-converted-space"/>
          <w:rFonts w:cs="Arial"/>
          <w:shd w:val="clear" w:color="auto" w:fill="FFFFFF"/>
          <w:lang w:val="en-CA"/>
        </w:rPr>
        <w:t> </w:t>
      </w:r>
      <w:r w:rsidRPr="0057738D">
        <w:rPr>
          <w:rFonts w:cs="Arial"/>
          <w:shd w:val="clear" w:color="auto" w:fill="FFFFFF"/>
          <w:lang w:val="en-CA"/>
        </w:rPr>
        <w:t>by the ‘Injunction’ and the ‘criminal behaviour order’, both introduced by the ACPA 2014</w:t>
      </w:r>
      <w:r w:rsidRPr="0057738D">
        <w:rPr>
          <w:lang w:val="en-CA"/>
        </w:rPr>
        <w:t>.</w:t>
      </w:r>
    </w:p>
  </w:footnote>
  <w:footnote w:id="53">
    <w:p w14:paraId="02BFC652" w14:textId="6D32B8B9" w:rsidR="00B402A7" w:rsidRPr="00B26431" w:rsidRDefault="00B402A7" w:rsidP="001B7BAC">
      <w:pPr>
        <w:pStyle w:val="Tekstprzypisudolnego"/>
        <w:jc w:val="both"/>
        <w:rPr>
          <w:lang w:val="en-US"/>
        </w:rPr>
      </w:pPr>
      <w:r w:rsidRPr="00822181">
        <w:rPr>
          <w:rStyle w:val="Odwoanieprzypisudolnego"/>
        </w:rPr>
        <w:footnoteRef/>
      </w:r>
      <w:r w:rsidRPr="00822181">
        <w:rPr>
          <w:lang w:val="en-US"/>
        </w:rPr>
        <w:t xml:space="preserve"> </w:t>
      </w:r>
      <w:r w:rsidRPr="00822181">
        <w:rPr>
          <w:i/>
          <w:iCs/>
          <w:lang w:val="en-US"/>
        </w:rPr>
        <w:t>McCann v Crown Court at Manchester</w:t>
      </w:r>
      <w:r w:rsidRPr="00822181">
        <w:rPr>
          <w:rStyle w:val="apple-converted-space"/>
          <w:lang w:val="en-US"/>
        </w:rPr>
        <w:t> </w:t>
      </w:r>
      <w:hyperlink r:id="rId8" w:tooltip="Link to BAILII version" w:history="1">
        <w:r w:rsidRPr="00822181">
          <w:rPr>
            <w:rStyle w:val="Hipercze"/>
            <w:color w:val="auto"/>
            <w:u w:val="none"/>
            <w:lang w:val="en-US"/>
          </w:rPr>
          <w:t>[2002] UKHL 39</w:t>
        </w:r>
      </w:hyperlink>
      <w:r w:rsidRPr="00B26431">
        <w:rPr>
          <w:lang w:val="en-US"/>
        </w:rPr>
        <w:t>;</w:t>
      </w:r>
      <w:r w:rsidRPr="00822181">
        <w:rPr>
          <w:rStyle w:val="apple-converted-space"/>
          <w:lang w:val="en-US"/>
        </w:rPr>
        <w:t> </w:t>
      </w:r>
      <w:hyperlink r:id="rId9" w:tooltip="Link to BAILII version" w:history="1">
        <w:r w:rsidRPr="00822181">
          <w:rPr>
            <w:rStyle w:val="Hipercze"/>
            <w:color w:val="auto"/>
            <w:u w:val="none"/>
            <w:lang w:val="en-US"/>
          </w:rPr>
          <w:t>[2003] 1 A</w:t>
        </w:r>
        <w:r>
          <w:rPr>
            <w:rStyle w:val="Hipercze"/>
            <w:color w:val="auto"/>
            <w:u w:val="none"/>
            <w:lang w:val="en-US"/>
          </w:rPr>
          <w:t>.</w:t>
        </w:r>
        <w:r w:rsidRPr="00822181">
          <w:rPr>
            <w:rStyle w:val="Hipercze"/>
            <w:color w:val="auto"/>
            <w:u w:val="none"/>
            <w:lang w:val="en-US"/>
          </w:rPr>
          <w:t>C</w:t>
        </w:r>
        <w:r>
          <w:rPr>
            <w:rStyle w:val="Hipercze"/>
            <w:color w:val="auto"/>
            <w:u w:val="none"/>
            <w:lang w:val="en-US"/>
          </w:rPr>
          <w:t>.</w:t>
        </w:r>
        <w:r w:rsidRPr="00822181">
          <w:rPr>
            <w:rStyle w:val="Hipercze"/>
            <w:color w:val="auto"/>
            <w:u w:val="none"/>
            <w:lang w:val="en-US"/>
          </w:rPr>
          <w:t xml:space="preserve"> 787</w:t>
        </w:r>
      </w:hyperlink>
      <w:r w:rsidRPr="00B26431">
        <w:rPr>
          <w:lang w:val="en-US"/>
        </w:rPr>
        <w:t>, para.</w:t>
      </w:r>
      <w:r>
        <w:rPr>
          <w:lang w:val="en-US"/>
        </w:rPr>
        <w:t xml:space="preserve">80. See, in the same sense, as to the </w:t>
      </w:r>
      <w:r>
        <w:rPr>
          <w:rFonts w:cs="Times New Roman"/>
          <w:lang w:val="en-US"/>
        </w:rPr>
        <w:t>former non-derogating control orders</w:t>
      </w:r>
      <w:r>
        <w:rPr>
          <w:lang w:val="en-US"/>
        </w:rPr>
        <w:t xml:space="preserve">: </w:t>
      </w:r>
      <w:hyperlink r:id="rId10" w:history="1">
        <w:r w:rsidRPr="00DA2221">
          <w:rPr>
            <w:i/>
            <w:lang w:val="en-US"/>
          </w:rPr>
          <w:t xml:space="preserve">Secretary of State for the Home Department v MB </w:t>
        </w:r>
        <w:r w:rsidRPr="00DA2221">
          <w:rPr>
            <w:lang w:val="en-US"/>
          </w:rPr>
          <w:t>[2007] UKHL</w:t>
        </w:r>
        <w:r w:rsidRPr="00DA2221">
          <w:rPr>
            <w:i/>
            <w:lang w:val="en-US"/>
          </w:rPr>
          <w:t xml:space="preserve"> </w:t>
        </w:r>
        <w:r w:rsidRPr="00DA2221">
          <w:rPr>
            <w:lang w:val="en-US"/>
          </w:rPr>
          <w:t>46</w:t>
        </w:r>
      </w:hyperlink>
      <w:r w:rsidRPr="00DA2221">
        <w:rPr>
          <w:lang w:val="en-US"/>
        </w:rPr>
        <w:t xml:space="preserve">, </w:t>
      </w:r>
      <w:r w:rsidRPr="00DA2221">
        <w:rPr>
          <w:rFonts w:cs="Times New Roman"/>
          <w:lang w:val="en-US"/>
        </w:rPr>
        <w:t>para.24</w:t>
      </w:r>
      <w:r>
        <w:rPr>
          <w:rFonts w:cs="Times New Roman"/>
          <w:lang w:val="en-US"/>
        </w:rPr>
        <w:t xml:space="preserve"> (Lord Bingham of Cornhill</w:t>
      </w:r>
      <w:r w:rsidRPr="00B26431">
        <w:rPr>
          <w:rFonts w:cs="Times New Roman"/>
          <w:lang w:val="en-US"/>
        </w:rPr>
        <w:t>)</w:t>
      </w:r>
      <w:r w:rsidRPr="00DA2221">
        <w:rPr>
          <w:rFonts w:cs="Times New Roman"/>
          <w:lang w:val="en-US"/>
        </w:rPr>
        <w:t xml:space="preserve"> </w:t>
      </w:r>
      <w:r w:rsidRPr="00DA2221">
        <w:rPr>
          <w:rFonts w:cs="Times New Roman"/>
          <w:i/>
          <w:lang w:val="en-US"/>
        </w:rPr>
        <w:t xml:space="preserve">cf. </w:t>
      </w:r>
      <w:r w:rsidRPr="00DA2221">
        <w:rPr>
          <w:rFonts w:cs="Times New Roman"/>
          <w:lang w:val="en-US"/>
        </w:rPr>
        <w:t>para.79 (Lord Carswell).</w:t>
      </w:r>
    </w:p>
  </w:footnote>
  <w:footnote w:id="54">
    <w:p w14:paraId="0985F8CD" w14:textId="462A844D" w:rsidR="00B402A7" w:rsidRPr="00730979" w:rsidRDefault="00B402A7" w:rsidP="001B7BAC">
      <w:pPr>
        <w:autoSpaceDE w:val="0"/>
        <w:autoSpaceDN w:val="0"/>
        <w:adjustRightInd w:val="0"/>
        <w:spacing w:after="0" w:line="240" w:lineRule="auto"/>
        <w:jc w:val="both"/>
        <w:rPr>
          <w:sz w:val="20"/>
          <w:szCs w:val="20"/>
        </w:rPr>
      </w:pPr>
      <w:r w:rsidRPr="005801B1">
        <w:rPr>
          <w:rStyle w:val="Odwoanieprzypisudolnego"/>
          <w:sz w:val="20"/>
          <w:szCs w:val="20"/>
        </w:rPr>
        <w:footnoteRef/>
      </w:r>
      <w:r w:rsidRPr="00603427">
        <w:rPr>
          <w:sz w:val="20"/>
          <w:szCs w:val="20"/>
        </w:rPr>
        <w:t xml:space="preserve"> </w:t>
      </w:r>
      <w:r w:rsidRPr="00603427">
        <w:rPr>
          <w:i/>
          <w:sz w:val="20"/>
          <w:szCs w:val="20"/>
        </w:rPr>
        <w:t>S</w:t>
      </w:r>
      <w:r w:rsidRPr="00603427">
        <w:rPr>
          <w:rFonts w:cs="Times New Roman"/>
          <w:i/>
          <w:sz w:val="20"/>
          <w:szCs w:val="20"/>
        </w:rPr>
        <w:t>oering v UK</w:t>
      </w:r>
      <w:r w:rsidRPr="00603427">
        <w:rPr>
          <w:rFonts w:cs="Times New Roman"/>
          <w:sz w:val="20"/>
          <w:szCs w:val="20"/>
        </w:rPr>
        <w:t xml:space="preserve"> (1989) 11 E.H.R.R. 439</w:t>
      </w:r>
      <w:r>
        <w:rPr>
          <w:rFonts w:cs="Times New Roman"/>
          <w:sz w:val="20"/>
          <w:szCs w:val="20"/>
        </w:rPr>
        <w:t>,</w:t>
      </w:r>
      <w:r w:rsidRPr="00603427">
        <w:rPr>
          <w:rFonts w:cs="Times New Roman"/>
          <w:i/>
          <w:sz w:val="20"/>
          <w:szCs w:val="20"/>
        </w:rPr>
        <w:t xml:space="preserve"> </w:t>
      </w:r>
      <w:r w:rsidRPr="00603427">
        <w:rPr>
          <w:rFonts w:cs="Times New Roman"/>
          <w:sz w:val="20"/>
          <w:szCs w:val="20"/>
        </w:rPr>
        <w:t xml:space="preserve">para.89. </w:t>
      </w:r>
      <w:r>
        <w:rPr>
          <w:rFonts w:cs="Times New Roman"/>
          <w:sz w:val="20"/>
          <w:szCs w:val="20"/>
        </w:rPr>
        <w:t>See aso</w:t>
      </w:r>
      <w:r w:rsidRPr="00730979">
        <w:rPr>
          <w:rFonts w:cs="Times New Roman"/>
          <w:sz w:val="20"/>
          <w:szCs w:val="20"/>
        </w:rPr>
        <w:t xml:space="preserve">, </w:t>
      </w:r>
      <w:r>
        <w:rPr>
          <w:rFonts w:cs="Times New Roman"/>
          <w:sz w:val="20"/>
          <w:szCs w:val="20"/>
        </w:rPr>
        <w:t>amongst others</w:t>
      </w:r>
      <w:r w:rsidRPr="00730979">
        <w:rPr>
          <w:rFonts w:cs="Times New Roman"/>
          <w:sz w:val="20"/>
          <w:szCs w:val="20"/>
        </w:rPr>
        <w:t xml:space="preserve"> </w:t>
      </w:r>
      <w:r w:rsidRPr="00730979">
        <w:rPr>
          <w:i/>
          <w:sz w:val="20"/>
          <w:szCs w:val="20"/>
        </w:rPr>
        <w:t xml:space="preserve">Baumann v France </w:t>
      </w:r>
      <w:r w:rsidRPr="00730979">
        <w:rPr>
          <w:sz w:val="20"/>
          <w:szCs w:val="20"/>
        </w:rPr>
        <w:t xml:space="preserve">(2002) 34 E.H.R.R. 44, para.61; </w:t>
      </w:r>
      <w:r w:rsidRPr="00730979">
        <w:rPr>
          <w:i/>
          <w:sz w:val="20"/>
          <w:szCs w:val="20"/>
        </w:rPr>
        <w:t xml:space="preserve">Hajlik v Hungary </w:t>
      </w:r>
      <w:r w:rsidRPr="00730979">
        <w:rPr>
          <w:color w:val="000000"/>
          <w:sz w:val="20"/>
          <w:szCs w:val="20"/>
          <w:shd w:val="clear" w:color="auto" w:fill="FFFFFF"/>
        </w:rPr>
        <w:t>(2008) 47 E.H.R.R. 11</w:t>
      </w:r>
      <w:r>
        <w:rPr>
          <w:color w:val="000000"/>
          <w:sz w:val="20"/>
          <w:szCs w:val="20"/>
          <w:shd w:val="clear" w:color="auto" w:fill="FFFFFF"/>
        </w:rPr>
        <w:t>,</w:t>
      </w:r>
      <w:r w:rsidRPr="00730979">
        <w:rPr>
          <w:color w:val="000000"/>
          <w:sz w:val="20"/>
          <w:szCs w:val="20"/>
          <w:shd w:val="clear" w:color="auto" w:fill="FFFFFF"/>
        </w:rPr>
        <w:t xml:space="preserve"> para.</w:t>
      </w:r>
      <w:r w:rsidRPr="00730979">
        <w:rPr>
          <w:rStyle w:val="sb8d990e2"/>
          <w:rFonts w:cs="Arial"/>
          <w:color w:val="000000"/>
          <w:sz w:val="20"/>
          <w:szCs w:val="20"/>
          <w:shd w:val="clear" w:color="auto" w:fill="FFFFFF"/>
        </w:rPr>
        <w:t xml:space="preserve">32; </w:t>
      </w:r>
      <w:r w:rsidRPr="00730979">
        <w:rPr>
          <w:i/>
          <w:sz w:val="20"/>
          <w:szCs w:val="20"/>
        </w:rPr>
        <w:t>Stamose v Bulgaria (</w:t>
      </w:r>
      <w:r w:rsidRPr="00730979">
        <w:rPr>
          <w:rFonts w:cs="Times New Roman"/>
          <w:i/>
          <w:sz w:val="20"/>
          <w:szCs w:val="20"/>
        </w:rPr>
        <w:t>App. No.</w:t>
      </w:r>
      <w:r w:rsidRPr="00730979">
        <w:rPr>
          <w:i/>
          <w:color w:val="000000"/>
          <w:sz w:val="20"/>
          <w:szCs w:val="20"/>
          <w:shd w:val="clear" w:color="auto" w:fill="FFFFFF"/>
        </w:rPr>
        <w:t>29713/05)</w:t>
      </w:r>
      <w:r w:rsidRPr="00730979">
        <w:rPr>
          <w:rFonts w:cs="Times New Roman"/>
          <w:i/>
          <w:sz w:val="20"/>
          <w:szCs w:val="20"/>
        </w:rPr>
        <w:t>, judgement of November 27, 2012</w:t>
      </w:r>
      <w:r>
        <w:rPr>
          <w:rFonts w:cs="Times New Roman"/>
          <w:sz w:val="20"/>
          <w:szCs w:val="20"/>
        </w:rPr>
        <w:t>,</w:t>
      </w:r>
      <w:r w:rsidRPr="00730979">
        <w:rPr>
          <w:rFonts w:cs="Times New Roman"/>
          <w:i/>
          <w:sz w:val="20"/>
          <w:szCs w:val="20"/>
        </w:rPr>
        <w:t xml:space="preserve"> </w:t>
      </w:r>
      <w:r w:rsidRPr="00730979">
        <w:rPr>
          <w:rFonts w:cs="Times New Roman"/>
          <w:sz w:val="20"/>
          <w:szCs w:val="20"/>
        </w:rPr>
        <w:t>para</w:t>
      </w:r>
      <w:r w:rsidRPr="00730979">
        <w:rPr>
          <w:rFonts w:cs="Times New Roman"/>
          <w:i/>
          <w:sz w:val="20"/>
          <w:szCs w:val="20"/>
        </w:rPr>
        <w:t>.</w:t>
      </w:r>
      <w:r w:rsidRPr="00730979">
        <w:rPr>
          <w:rFonts w:cs="Arial"/>
          <w:color w:val="000000"/>
          <w:sz w:val="20"/>
          <w:szCs w:val="20"/>
          <w:shd w:val="clear" w:color="auto" w:fill="FFFFFF"/>
        </w:rPr>
        <w:t xml:space="preserve">32 and </w:t>
      </w:r>
      <w:r w:rsidRPr="00730979">
        <w:rPr>
          <w:i/>
          <w:sz w:val="20"/>
          <w:szCs w:val="20"/>
        </w:rPr>
        <w:t xml:space="preserve">Soltysyak v Russia </w:t>
      </w:r>
      <w:r w:rsidRPr="00730979">
        <w:rPr>
          <w:color w:val="000000"/>
          <w:sz w:val="20"/>
          <w:szCs w:val="20"/>
          <w:shd w:val="clear" w:color="auto" w:fill="FFFFFF"/>
        </w:rPr>
        <w:t>(2016) 62 E.H.R.R. 5</w:t>
      </w:r>
      <w:r>
        <w:rPr>
          <w:color w:val="000000"/>
          <w:sz w:val="20"/>
          <w:szCs w:val="20"/>
          <w:shd w:val="clear" w:color="auto" w:fill="FFFFFF"/>
        </w:rPr>
        <w:t>,</w:t>
      </w:r>
      <w:r w:rsidRPr="00730979">
        <w:rPr>
          <w:sz w:val="20"/>
          <w:szCs w:val="20"/>
        </w:rPr>
        <w:t xml:space="preserve"> para.48</w:t>
      </w:r>
      <w:r w:rsidRPr="00730979">
        <w:rPr>
          <w:i/>
          <w:sz w:val="20"/>
          <w:szCs w:val="20"/>
        </w:rPr>
        <w:t>.</w:t>
      </w:r>
    </w:p>
  </w:footnote>
  <w:footnote w:id="55">
    <w:p w14:paraId="560CE6E4" w14:textId="4708D1A5" w:rsidR="00B402A7" w:rsidRPr="000339D8" w:rsidRDefault="00B402A7" w:rsidP="001B7BAC">
      <w:pPr>
        <w:pStyle w:val="Tekstprzypisudolnego"/>
        <w:jc w:val="both"/>
        <w:rPr>
          <w:lang w:val="en-CA"/>
        </w:rPr>
      </w:pPr>
      <w:r>
        <w:rPr>
          <w:rStyle w:val="Odwoanieprzypisudolnego"/>
        </w:rPr>
        <w:footnoteRef/>
      </w:r>
      <w:r w:rsidRPr="00201808">
        <w:rPr>
          <w:lang w:val="en-US"/>
        </w:rPr>
        <w:t xml:space="preserve"> </w:t>
      </w:r>
      <w:r>
        <w:rPr>
          <w:lang w:val="en-CA"/>
        </w:rPr>
        <w:t>S</w:t>
      </w:r>
      <w:r w:rsidRPr="0088019B">
        <w:rPr>
          <w:lang w:val="en-CA"/>
        </w:rPr>
        <w:t xml:space="preserve">ee, for instance </w:t>
      </w:r>
      <w:r w:rsidRPr="00D40888">
        <w:rPr>
          <w:lang w:val="en-US"/>
        </w:rPr>
        <w:t xml:space="preserve">Bernadette Rainey, Elizabeth Wicks, and Clare Ovey (eds), </w:t>
      </w:r>
      <w:r w:rsidRPr="00D40888">
        <w:rPr>
          <w:rFonts w:cs="Times New Roman"/>
          <w:i/>
          <w:color w:val="000000"/>
          <w:shd w:val="clear" w:color="auto" w:fill="FFFFFF"/>
          <w:lang w:val="en-US"/>
        </w:rPr>
        <w:t xml:space="preserve">Jacobs, White </w:t>
      </w:r>
      <w:r w:rsidRPr="00D40888">
        <w:rPr>
          <w:rFonts w:cs="Times New Roman"/>
          <w:i/>
          <w:color w:val="000000"/>
          <w:shd w:val="clear" w:color="auto" w:fill="FFFFFF"/>
          <w:lang w:val="en-GB"/>
        </w:rPr>
        <w:t>and Ovey. The European Convention on Human Rights</w:t>
      </w:r>
      <w:r w:rsidRPr="00D40888">
        <w:rPr>
          <w:rFonts w:cs="Times New Roman"/>
          <w:color w:val="000000"/>
          <w:shd w:val="clear" w:color="auto" w:fill="FFFFFF"/>
          <w:lang w:val="en-GB"/>
        </w:rPr>
        <w:t xml:space="preserve"> (OUP, 2014), pp.</w:t>
      </w:r>
      <w:r>
        <w:rPr>
          <w:lang w:val="en-CA"/>
        </w:rPr>
        <w:t xml:space="preserve">324-325; </w:t>
      </w:r>
      <w:r w:rsidRPr="005F40BA">
        <w:rPr>
          <w:rFonts w:cs="Arial"/>
          <w:shd w:val="clear" w:color="auto" w:fill="FFFFFF"/>
          <w:lang w:val="en-US"/>
        </w:rPr>
        <w:t>Yutaka Arai-Takahashi, “Proportionality” in Dinah Shelton (ed),</w:t>
      </w:r>
      <w:r w:rsidRPr="005F40BA">
        <w:rPr>
          <w:rStyle w:val="apple-converted-space"/>
          <w:rFonts w:cs="Arial"/>
          <w:shd w:val="clear" w:color="auto" w:fill="FFFFFF"/>
          <w:lang w:val="en-US"/>
        </w:rPr>
        <w:t> </w:t>
      </w:r>
      <w:r w:rsidRPr="005F40BA">
        <w:rPr>
          <w:rFonts w:cs="Arial"/>
          <w:i/>
          <w:iCs/>
          <w:shd w:val="clear" w:color="auto" w:fill="FFFFFF"/>
          <w:lang w:val="en-US"/>
        </w:rPr>
        <w:t xml:space="preserve">The Oxford Handbook of International Human Rights Law </w:t>
      </w:r>
      <w:r w:rsidRPr="005F40BA">
        <w:rPr>
          <w:rFonts w:cs="Arial"/>
          <w:shd w:val="clear" w:color="auto" w:fill="FFFFFF"/>
          <w:lang w:val="en-US"/>
        </w:rPr>
        <w:t>(OUP, 20</w:t>
      </w:r>
      <w:r>
        <w:rPr>
          <w:rFonts w:cs="Arial"/>
          <w:shd w:val="clear" w:color="auto" w:fill="FFFFFF"/>
          <w:lang w:val="en-US"/>
        </w:rPr>
        <w:t>13), p.</w:t>
      </w:r>
      <w:r>
        <w:rPr>
          <w:lang w:val="en-CA"/>
        </w:rPr>
        <w:t xml:space="preserve">451 and </w:t>
      </w:r>
      <w:r w:rsidRPr="0088019B">
        <w:rPr>
          <w:i/>
          <w:lang w:val="en-CA"/>
        </w:rPr>
        <w:t xml:space="preserve">Gerards, </w:t>
      </w:r>
      <w:r w:rsidRPr="005E79DB">
        <w:rPr>
          <w:i/>
          <w:lang w:val="en-US"/>
        </w:rPr>
        <w:t>EVRM: Algemene beginselen</w:t>
      </w:r>
      <w:r>
        <w:rPr>
          <w:lang w:val="en-CA"/>
        </w:rPr>
        <w:t>, fn.2</w:t>
      </w:r>
      <w:r w:rsidR="00765E2B">
        <w:rPr>
          <w:lang w:val="en-CA"/>
        </w:rPr>
        <w:t>8</w:t>
      </w:r>
      <w:r w:rsidRPr="0088019B">
        <w:rPr>
          <w:lang w:val="en-CA"/>
        </w:rPr>
        <w:t xml:space="preserve"> above, pp.1</w:t>
      </w:r>
      <w:r>
        <w:rPr>
          <w:lang w:val="en-CA"/>
        </w:rPr>
        <w:t>40</w:t>
      </w:r>
      <w:r w:rsidRPr="0088019B">
        <w:rPr>
          <w:lang w:val="en-CA"/>
        </w:rPr>
        <w:t>-157</w:t>
      </w:r>
      <w:r>
        <w:rPr>
          <w:lang w:val="en-CA"/>
        </w:rPr>
        <w:t>.</w:t>
      </w:r>
    </w:p>
  </w:footnote>
  <w:footnote w:id="56">
    <w:p w14:paraId="5FB2293B" w14:textId="08C6144A" w:rsidR="00B402A7" w:rsidRPr="001551B3" w:rsidRDefault="00B402A7" w:rsidP="001B7BAC">
      <w:pPr>
        <w:pStyle w:val="Tekstprzypisudolnego"/>
        <w:jc w:val="both"/>
      </w:pPr>
      <w:r w:rsidRPr="000339D8">
        <w:rPr>
          <w:rStyle w:val="Odwoanieprzypisudolnego"/>
        </w:rPr>
        <w:footnoteRef/>
      </w:r>
      <w:r w:rsidRPr="000339D8">
        <w:rPr>
          <w:rFonts w:cs="Times New Roman"/>
        </w:rPr>
        <w:t xml:space="preserve"> </w:t>
      </w:r>
      <w:r w:rsidRPr="000339D8">
        <w:rPr>
          <w:i/>
        </w:rPr>
        <w:t>Gerards</w:t>
      </w:r>
      <w:r w:rsidRPr="000339D8">
        <w:t xml:space="preserve">, </w:t>
      </w:r>
      <w:r w:rsidRPr="000339D8">
        <w:rPr>
          <w:i/>
        </w:rPr>
        <w:t>EVRM: Algemene beginselen</w:t>
      </w:r>
      <w:r w:rsidR="00765E2B">
        <w:t>, fn.28</w:t>
      </w:r>
      <w:r w:rsidRPr="000339D8">
        <w:t xml:space="preserve"> above, p.145.</w:t>
      </w:r>
    </w:p>
  </w:footnote>
  <w:footnote w:id="57">
    <w:p w14:paraId="6DA8406B" w14:textId="3B651508" w:rsidR="00B402A7" w:rsidRPr="008741AD" w:rsidRDefault="00B402A7" w:rsidP="001B7BAC">
      <w:pPr>
        <w:pStyle w:val="Tekstprzypisudolnego"/>
        <w:jc w:val="both"/>
        <w:rPr>
          <w:lang w:val="en-CA"/>
        </w:rPr>
      </w:pPr>
      <w:r w:rsidRPr="00150F01">
        <w:rPr>
          <w:rStyle w:val="Odwoanieprzypisudolnego"/>
        </w:rPr>
        <w:footnoteRef/>
      </w:r>
      <w:r w:rsidRPr="00150F01">
        <w:rPr>
          <w:lang w:val="en-CA"/>
        </w:rPr>
        <w:t xml:space="preserve"> </w:t>
      </w:r>
      <w:r w:rsidRPr="00150F01">
        <w:rPr>
          <w:rFonts w:cs="Times New Roman"/>
          <w:i/>
          <w:lang w:val="en-GB"/>
        </w:rPr>
        <w:t>Hidalgo, “Liberty of Movement Within the Territory of a State”,</w:t>
      </w:r>
      <w:r w:rsidRPr="00150F01">
        <w:rPr>
          <w:rFonts w:cs="Times New Roman"/>
          <w:lang w:val="en-GB"/>
        </w:rPr>
        <w:t xml:space="preserve"> fn.</w:t>
      </w:r>
      <w:r>
        <w:rPr>
          <w:rFonts w:cs="Times New Roman"/>
          <w:lang w:val="en-GB"/>
        </w:rPr>
        <w:t>2</w:t>
      </w:r>
      <w:r w:rsidR="00765E2B">
        <w:rPr>
          <w:rFonts w:cs="Times New Roman"/>
          <w:lang w:val="en-GB"/>
        </w:rPr>
        <w:t>6</w:t>
      </w:r>
      <w:r w:rsidRPr="00150F01">
        <w:rPr>
          <w:rFonts w:cs="Times New Roman"/>
          <w:lang w:val="en-GB"/>
        </w:rPr>
        <w:t xml:space="preserve"> above, p.622.</w:t>
      </w:r>
    </w:p>
  </w:footnote>
  <w:footnote w:id="58">
    <w:p w14:paraId="4527C793" w14:textId="65A58171" w:rsidR="00B402A7" w:rsidRPr="00150F01" w:rsidRDefault="00B402A7" w:rsidP="001B7BAC">
      <w:pPr>
        <w:pStyle w:val="Tekstprzypisudolnego"/>
        <w:jc w:val="both"/>
        <w:rPr>
          <w:i/>
          <w:lang w:val="es-ES"/>
        </w:rPr>
      </w:pPr>
      <w:r>
        <w:rPr>
          <w:rStyle w:val="Odwoanieprzypisudolnego"/>
        </w:rPr>
        <w:footnoteRef/>
      </w:r>
      <w:r w:rsidRPr="00150F01">
        <w:rPr>
          <w:lang w:val="es-ES"/>
        </w:rPr>
        <w:t xml:space="preserve"> </w:t>
      </w:r>
      <w:r>
        <w:rPr>
          <w:lang w:val="es-ES"/>
        </w:rPr>
        <w:t xml:space="preserve">See </w:t>
      </w:r>
      <w:r>
        <w:rPr>
          <w:i/>
          <w:lang w:val="es-ES"/>
        </w:rPr>
        <w:t>supra.</w:t>
      </w:r>
    </w:p>
  </w:footnote>
  <w:footnote w:id="59">
    <w:p w14:paraId="3747ECA1" w14:textId="38FD8BBB" w:rsidR="00B402A7" w:rsidRPr="001551B3" w:rsidRDefault="00B402A7" w:rsidP="001B7BAC">
      <w:pPr>
        <w:pStyle w:val="Tekstprzypisudolnego"/>
        <w:jc w:val="both"/>
        <w:rPr>
          <w:lang w:val="es-ES"/>
        </w:rPr>
      </w:pPr>
      <w:r w:rsidRPr="00B33FFB">
        <w:rPr>
          <w:rStyle w:val="Odwoanieprzypisudolnego"/>
        </w:rPr>
        <w:footnoteRef/>
      </w:r>
      <w:r w:rsidRPr="0022227A">
        <w:rPr>
          <w:lang w:val="es-ES"/>
        </w:rPr>
        <w:t xml:space="preserve"> </w:t>
      </w:r>
      <w:r w:rsidRPr="00730BDA">
        <w:rPr>
          <w:i/>
          <w:lang w:val="es-ES"/>
        </w:rPr>
        <w:t xml:space="preserve">Landvreugd </w:t>
      </w:r>
      <w:r w:rsidRPr="00730BDA">
        <w:rPr>
          <w:rFonts w:cs="Times New Roman"/>
          <w:lang w:val="es-ES"/>
        </w:rPr>
        <w:t xml:space="preserve"> paras.67-75 and </w:t>
      </w:r>
      <w:r w:rsidRPr="00730BDA">
        <w:rPr>
          <w:rFonts w:cs="Times New Roman"/>
          <w:i/>
          <w:lang w:val="es-ES"/>
        </w:rPr>
        <w:t xml:space="preserve">Olivieira </w:t>
      </w:r>
      <w:r>
        <w:rPr>
          <w:rFonts w:cs="Times New Roman"/>
          <w:lang w:val="es-ES"/>
        </w:rPr>
        <w:t>paras.60-66</w:t>
      </w:r>
      <w:r w:rsidRPr="001551B3">
        <w:rPr>
          <w:lang w:val="es-ES"/>
        </w:rPr>
        <w:t>.</w:t>
      </w:r>
    </w:p>
  </w:footnote>
  <w:footnote w:id="60">
    <w:p w14:paraId="3B53217D" w14:textId="00C44298" w:rsidR="00B402A7" w:rsidRPr="00A22E44" w:rsidRDefault="00B402A7" w:rsidP="001B7BAC">
      <w:pPr>
        <w:pStyle w:val="Tekstprzypisudolnego"/>
        <w:jc w:val="both"/>
        <w:rPr>
          <w:lang w:val="en-CA"/>
        </w:rPr>
      </w:pPr>
      <w:r w:rsidRPr="00323DEF">
        <w:rPr>
          <w:rStyle w:val="Odwoanieprzypisudolnego"/>
        </w:rPr>
        <w:footnoteRef/>
      </w:r>
      <w:r w:rsidRPr="00323DEF">
        <w:rPr>
          <w:rFonts w:cs="Times New Roman"/>
          <w:lang w:val="en-US"/>
        </w:rPr>
        <w:t xml:space="preserve"> </w:t>
      </w:r>
      <w:r>
        <w:rPr>
          <w:rFonts w:cs="Times New Roman"/>
          <w:lang w:val="en-US"/>
        </w:rPr>
        <w:t xml:space="preserve">As already stated by Hidalgo in </w:t>
      </w:r>
      <w:r w:rsidRPr="00323DEF">
        <w:rPr>
          <w:rFonts w:cs="Times New Roman"/>
          <w:i/>
          <w:lang w:val="en-GB"/>
        </w:rPr>
        <w:t>Hidalgo, “Liberty of Movement Within the Territory of a State”,</w:t>
      </w:r>
      <w:r>
        <w:rPr>
          <w:rFonts w:cs="Times New Roman"/>
          <w:lang w:val="en-GB"/>
        </w:rPr>
        <w:t xml:space="preserve"> fn.2</w:t>
      </w:r>
      <w:r w:rsidR="00765E2B">
        <w:rPr>
          <w:rFonts w:cs="Times New Roman"/>
          <w:lang w:val="en-GB"/>
        </w:rPr>
        <w:t>6</w:t>
      </w:r>
      <w:r>
        <w:rPr>
          <w:rFonts w:cs="Times New Roman"/>
          <w:lang w:val="en-GB"/>
        </w:rPr>
        <w:t xml:space="preserve"> above, p.622</w:t>
      </w:r>
      <w:r w:rsidRPr="00323DEF">
        <w:rPr>
          <w:rFonts w:cs="Times New Roman"/>
          <w:lang w:val="en-GB"/>
        </w:rPr>
        <w:t xml:space="preserve">. See also </w:t>
      </w:r>
      <w:r w:rsidRPr="00323DEF">
        <w:rPr>
          <w:rFonts w:cs="Arial"/>
          <w:i/>
          <w:shd w:val="clear" w:color="auto" w:fill="FFFFFF"/>
          <w:lang w:val="en-US"/>
        </w:rPr>
        <w:t>Arai-</w:t>
      </w:r>
      <w:r w:rsidRPr="007E5215">
        <w:rPr>
          <w:rFonts w:cs="Arial"/>
          <w:i/>
          <w:shd w:val="clear" w:color="auto" w:fill="FFFFFF"/>
          <w:lang w:val="en-US"/>
        </w:rPr>
        <w:t>Takahashi, “Proportionality</w:t>
      </w:r>
      <w:r w:rsidRPr="007E5215">
        <w:rPr>
          <w:i/>
          <w:lang w:val="en-CA"/>
        </w:rPr>
        <w:t>”</w:t>
      </w:r>
      <w:r w:rsidRPr="007E5215">
        <w:rPr>
          <w:lang w:val="en-CA"/>
        </w:rPr>
        <w:t>, fn.</w:t>
      </w:r>
      <w:r>
        <w:rPr>
          <w:lang w:val="en-CA"/>
        </w:rPr>
        <w:t>5</w:t>
      </w:r>
      <w:r w:rsidR="00765E2B">
        <w:rPr>
          <w:lang w:val="en-CA"/>
        </w:rPr>
        <w:t>5</w:t>
      </w:r>
      <w:r>
        <w:rPr>
          <w:lang w:val="en-CA"/>
        </w:rPr>
        <w:t xml:space="preserve"> above, pp.454-455.</w:t>
      </w:r>
    </w:p>
  </w:footnote>
  <w:footnote w:id="61">
    <w:p w14:paraId="1F2158CC" w14:textId="53D89459" w:rsidR="00B402A7" w:rsidRPr="00272F12" w:rsidRDefault="00B402A7" w:rsidP="001B7BAC">
      <w:pPr>
        <w:pStyle w:val="Tekstprzypisudolnego"/>
        <w:jc w:val="both"/>
        <w:rPr>
          <w:lang w:val="en-CA"/>
        </w:rPr>
      </w:pPr>
      <w:r w:rsidRPr="00272F12">
        <w:rPr>
          <w:rStyle w:val="Odwoanieprzypisudolnego"/>
        </w:rPr>
        <w:footnoteRef/>
      </w:r>
      <w:r w:rsidRPr="00272F12">
        <w:rPr>
          <w:rFonts w:cs="Times New Roman"/>
          <w:lang w:val="en-GB"/>
        </w:rPr>
        <w:t xml:space="preserve"> </w:t>
      </w:r>
      <w:r w:rsidRPr="00323DEF">
        <w:rPr>
          <w:rFonts w:cs="Times New Roman"/>
          <w:i/>
          <w:lang w:val="en-GB"/>
        </w:rPr>
        <w:t>Hidalgo, “Liberty of Movement Within the Territory of a State”,</w:t>
      </w:r>
      <w:r>
        <w:rPr>
          <w:rFonts w:cs="Times New Roman"/>
          <w:lang w:val="en-GB"/>
        </w:rPr>
        <w:t xml:space="preserve"> fn.2</w:t>
      </w:r>
      <w:r w:rsidR="00765E2B">
        <w:rPr>
          <w:rFonts w:cs="Times New Roman"/>
          <w:lang w:val="en-GB"/>
        </w:rPr>
        <w:t>6</w:t>
      </w:r>
      <w:r>
        <w:rPr>
          <w:rFonts w:cs="Times New Roman"/>
          <w:lang w:val="en-GB"/>
        </w:rPr>
        <w:t xml:space="preserve"> above, p.622</w:t>
      </w:r>
      <w:r>
        <w:rPr>
          <w:rFonts w:cs="Times New Roman"/>
          <w:lang w:val="en-US"/>
        </w:rPr>
        <w:t xml:space="preserve">. </w:t>
      </w:r>
    </w:p>
  </w:footnote>
  <w:footnote w:id="62">
    <w:p w14:paraId="5325D7DF" w14:textId="5178D29D" w:rsidR="00B402A7" w:rsidRPr="00C6709D" w:rsidRDefault="00B402A7" w:rsidP="001B7BAC">
      <w:pPr>
        <w:pStyle w:val="Tekstprzypisudolnego"/>
        <w:jc w:val="both"/>
        <w:rPr>
          <w:lang w:val="en-CA"/>
        </w:rPr>
      </w:pPr>
      <w:r w:rsidRPr="002616F9">
        <w:rPr>
          <w:rStyle w:val="Odwoanieprzypisudolnego"/>
        </w:rPr>
        <w:footnoteRef/>
      </w:r>
      <w:r w:rsidRPr="00B25AA6">
        <w:rPr>
          <w:lang w:val="en-CA"/>
        </w:rPr>
        <w:t xml:space="preserve"> </w:t>
      </w:r>
      <w:r>
        <w:rPr>
          <w:lang w:val="en-CA"/>
        </w:rPr>
        <w:t xml:space="preserve">See </w:t>
      </w:r>
      <w:r w:rsidRPr="00B25AA6">
        <w:rPr>
          <w:i/>
          <w:lang w:val="en-CA"/>
        </w:rPr>
        <w:t>Landvreugd,</w:t>
      </w:r>
      <w:r w:rsidRPr="00B25AA6">
        <w:rPr>
          <w:lang w:val="en-CA"/>
        </w:rPr>
        <w:t xml:space="preserve"> paras.72 and 74. See, in the same sense, </w:t>
      </w:r>
      <w:r w:rsidRPr="00DD584A">
        <w:rPr>
          <w:i/>
          <w:lang w:val="en-CA"/>
        </w:rPr>
        <w:t>Olivieira</w:t>
      </w:r>
      <w:r w:rsidRPr="00B25AA6">
        <w:rPr>
          <w:i/>
          <w:lang w:val="en-CA"/>
        </w:rPr>
        <w:t>,</w:t>
      </w:r>
      <w:r w:rsidRPr="00B25AA6">
        <w:rPr>
          <w:lang w:val="en-CA"/>
        </w:rPr>
        <w:t xml:space="preserve"> para.6</w:t>
      </w:r>
      <w:r>
        <w:rPr>
          <w:lang w:val="en-CA"/>
        </w:rPr>
        <w:t>5</w:t>
      </w:r>
      <w:r>
        <w:rPr>
          <w:rFonts w:cs="Arial"/>
          <w:color w:val="000000"/>
          <w:shd w:val="clear" w:color="auto" w:fill="FFFFFF"/>
          <w:lang w:val="en-CA"/>
        </w:rPr>
        <w:t>.</w:t>
      </w:r>
    </w:p>
  </w:footnote>
  <w:footnote w:id="63">
    <w:p w14:paraId="02DF0F36" w14:textId="7937B3FB" w:rsidR="00B402A7" w:rsidRPr="00A22E44" w:rsidRDefault="00B402A7" w:rsidP="001B7BAC">
      <w:pPr>
        <w:pStyle w:val="Tekstprzypisudolnego"/>
        <w:jc w:val="both"/>
        <w:rPr>
          <w:lang w:val="en-CA"/>
        </w:rPr>
      </w:pPr>
      <w:r w:rsidRPr="00A22E44">
        <w:rPr>
          <w:rStyle w:val="Odwoanieprzypisudolnego"/>
        </w:rPr>
        <w:footnoteRef/>
      </w:r>
      <w:r w:rsidRPr="00A22E44">
        <w:rPr>
          <w:lang w:val="en-CA"/>
        </w:rPr>
        <w:t xml:space="preserve"> See</w:t>
      </w:r>
      <w:r>
        <w:rPr>
          <w:lang w:val="en-CA"/>
        </w:rPr>
        <w:t>,</w:t>
      </w:r>
      <w:r w:rsidRPr="00A22E44">
        <w:rPr>
          <w:lang w:val="en-CA"/>
        </w:rPr>
        <w:t xml:space="preserve"> </w:t>
      </w:r>
      <w:r>
        <w:rPr>
          <w:lang w:val="en-CA"/>
        </w:rPr>
        <w:t xml:space="preserve">e.g. </w:t>
      </w:r>
      <w:r w:rsidRPr="00DB4D64">
        <w:rPr>
          <w:i/>
          <w:lang w:val="en-CA"/>
        </w:rPr>
        <w:t>Gerards, EVRM</w:t>
      </w:r>
      <w:r>
        <w:rPr>
          <w:lang w:val="en-CA"/>
        </w:rPr>
        <w:t>, fn.2</w:t>
      </w:r>
      <w:r w:rsidR="00765E2B">
        <w:rPr>
          <w:lang w:val="en-CA"/>
        </w:rPr>
        <w:t>8</w:t>
      </w:r>
      <w:r>
        <w:rPr>
          <w:lang w:val="en-CA"/>
        </w:rPr>
        <w:t xml:space="preserve"> above, p.158 and </w:t>
      </w:r>
      <w:r w:rsidRPr="00DB4D64">
        <w:rPr>
          <w:rFonts w:cs="Arial"/>
          <w:i/>
          <w:shd w:val="clear" w:color="auto" w:fill="FFFFFF"/>
          <w:lang w:val="en-US"/>
        </w:rPr>
        <w:t>Arai-Takahashi, “Proportionality</w:t>
      </w:r>
      <w:r w:rsidRPr="00DB4D64">
        <w:rPr>
          <w:i/>
          <w:lang w:val="en-CA"/>
        </w:rPr>
        <w:t>”</w:t>
      </w:r>
      <w:r w:rsidRPr="00A22E44">
        <w:rPr>
          <w:lang w:val="en-CA"/>
        </w:rPr>
        <w:t>,</w:t>
      </w:r>
      <w:r>
        <w:rPr>
          <w:lang w:val="en-CA"/>
        </w:rPr>
        <w:t xml:space="preserve"> fn.5</w:t>
      </w:r>
      <w:r w:rsidR="00765E2B">
        <w:rPr>
          <w:lang w:val="en-CA"/>
        </w:rPr>
        <w:t>5</w:t>
      </w:r>
      <w:r>
        <w:rPr>
          <w:lang w:val="en-CA"/>
        </w:rPr>
        <w:t xml:space="preserve"> above, p.452</w:t>
      </w:r>
      <w:r w:rsidRPr="00A22E44">
        <w:rPr>
          <w:rStyle w:val="apple-converted-space"/>
          <w:rFonts w:cs="Times New Roman"/>
          <w:bCs/>
          <w:lang w:val="en-CA"/>
        </w:rPr>
        <w:t>.</w:t>
      </w:r>
    </w:p>
  </w:footnote>
  <w:footnote w:id="64">
    <w:p w14:paraId="76D4210C" w14:textId="077A2304" w:rsidR="00B402A7" w:rsidRPr="00F107B3" w:rsidRDefault="00B402A7" w:rsidP="001B7BAC">
      <w:pPr>
        <w:pStyle w:val="Tekstprzypisudolnego"/>
        <w:jc w:val="both"/>
        <w:rPr>
          <w:lang w:val="en-CA"/>
        </w:rPr>
      </w:pPr>
      <w:r>
        <w:rPr>
          <w:rStyle w:val="Odwoanieprzypisudolnego"/>
        </w:rPr>
        <w:footnoteRef/>
      </w:r>
      <w:r w:rsidRPr="00F107B3">
        <w:rPr>
          <w:lang w:val="en-CA"/>
        </w:rPr>
        <w:t xml:space="preserve"> </w:t>
      </w:r>
      <w:r w:rsidRPr="00B25AA6">
        <w:rPr>
          <w:i/>
          <w:lang w:val="en-CA"/>
        </w:rPr>
        <w:t>Landvreugd,</w:t>
      </w:r>
      <w:r w:rsidRPr="00B25AA6">
        <w:rPr>
          <w:lang w:val="en-CA"/>
        </w:rPr>
        <w:t xml:space="preserve"> para.72</w:t>
      </w:r>
      <w:r>
        <w:rPr>
          <w:lang w:val="en-CA"/>
        </w:rPr>
        <w:t>. S</w:t>
      </w:r>
      <w:r w:rsidRPr="00B25AA6">
        <w:rPr>
          <w:lang w:val="en-CA"/>
        </w:rPr>
        <w:t xml:space="preserve">ee, in the same sense, </w:t>
      </w:r>
      <w:r w:rsidRPr="00DD584A">
        <w:rPr>
          <w:i/>
          <w:lang w:val="en-CA"/>
        </w:rPr>
        <w:t>Olivieira</w:t>
      </w:r>
      <w:r w:rsidRPr="00B25AA6">
        <w:rPr>
          <w:i/>
          <w:lang w:val="en-CA"/>
        </w:rPr>
        <w:t>,</w:t>
      </w:r>
      <w:r w:rsidRPr="00B25AA6">
        <w:rPr>
          <w:lang w:val="en-CA"/>
        </w:rPr>
        <w:t xml:space="preserve"> para.6</w:t>
      </w:r>
      <w:r>
        <w:rPr>
          <w:lang w:val="en-CA"/>
        </w:rPr>
        <w:t>5.</w:t>
      </w:r>
    </w:p>
  </w:footnote>
  <w:footnote w:id="65">
    <w:p w14:paraId="42573B05" w14:textId="6E52795F" w:rsidR="00B402A7" w:rsidRPr="00CA1E1A" w:rsidRDefault="00B402A7" w:rsidP="001B7BAC">
      <w:pPr>
        <w:pStyle w:val="Tekstprzypisudolnego"/>
        <w:jc w:val="both"/>
        <w:rPr>
          <w:lang w:val="en-CA"/>
        </w:rPr>
      </w:pPr>
      <w:r w:rsidRPr="00A22E44">
        <w:rPr>
          <w:rStyle w:val="Odwoanieprzypisudolnego"/>
        </w:rPr>
        <w:footnoteRef/>
      </w:r>
      <w:r>
        <w:rPr>
          <w:lang w:val="en-CA"/>
        </w:rPr>
        <w:t xml:space="preserve"> As already stated by Barak in </w:t>
      </w:r>
      <w:r w:rsidRPr="00A22E44">
        <w:rPr>
          <w:lang w:val="en-US"/>
        </w:rPr>
        <w:t xml:space="preserve">Aharon Barak, </w:t>
      </w:r>
      <w:r w:rsidRPr="00A22E44">
        <w:rPr>
          <w:bCs/>
          <w:i/>
          <w:lang w:val="en-US"/>
        </w:rPr>
        <w:t>Proportionality,</w:t>
      </w:r>
      <w:r w:rsidRPr="00A22E44">
        <w:rPr>
          <w:i/>
          <w:lang w:val="en-US"/>
        </w:rPr>
        <w:t> </w:t>
      </w:r>
      <w:r w:rsidRPr="00CA1E1A">
        <w:rPr>
          <w:i/>
          <w:lang w:val="en-US"/>
        </w:rPr>
        <w:t>constitutional rights and their limitations</w:t>
      </w:r>
      <w:r w:rsidRPr="00CA1E1A">
        <w:rPr>
          <w:lang w:val="en-US"/>
        </w:rPr>
        <w:t xml:space="preserve"> (CUP, 2012), </w:t>
      </w:r>
      <w:r>
        <w:rPr>
          <w:lang w:val="en-US"/>
        </w:rPr>
        <w:t>p.</w:t>
      </w:r>
      <w:r w:rsidRPr="00CA1E1A">
        <w:rPr>
          <w:rFonts w:cs="Times New Roman"/>
          <w:lang w:val="en-CA"/>
        </w:rPr>
        <w:t>132.</w:t>
      </w:r>
    </w:p>
  </w:footnote>
  <w:footnote w:id="66">
    <w:p w14:paraId="04ABD83C" w14:textId="176DF853" w:rsidR="00B402A7" w:rsidRPr="00603427" w:rsidRDefault="00B402A7" w:rsidP="001B7BAC">
      <w:pPr>
        <w:pStyle w:val="Tekstprzypisudolnego"/>
        <w:jc w:val="both"/>
        <w:rPr>
          <w:lang w:val="en-CA"/>
        </w:rPr>
      </w:pPr>
      <w:r>
        <w:rPr>
          <w:rStyle w:val="Odwoanieprzypisudolnego"/>
        </w:rPr>
        <w:footnoteRef/>
      </w:r>
      <w:r w:rsidRPr="00603427">
        <w:rPr>
          <w:lang w:val="en-CA"/>
        </w:rPr>
        <w:t xml:space="preserve"> See, e.g. </w:t>
      </w:r>
      <w:r w:rsidRPr="002228A2">
        <w:rPr>
          <w:i/>
          <w:lang w:val="en-CA"/>
        </w:rPr>
        <w:t>Le Compte, Van Leuven and De Meyere v Belgium</w:t>
      </w:r>
      <w:r w:rsidRPr="00730979">
        <w:rPr>
          <w:lang w:val="en-CA"/>
        </w:rPr>
        <w:t xml:space="preserve"> (1982) 4 E.H.R.R. 1, para.51(b), as confirmed in</w:t>
      </w:r>
      <w:r>
        <w:rPr>
          <w:lang w:val="en-CA"/>
        </w:rPr>
        <w:t>, e.g.</w:t>
      </w:r>
      <w:r w:rsidRPr="00730979">
        <w:rPr>
          <w:lang w:val="en-CA"/>
        </w:rPr>
        <w:t xml:space="preserve"> </w:t>
      </w:r>
      <w:r w:rsidRPr="00730979">
        <w:rPr>
          <w:i/>
          <w:lang w:val="en-CA"/>
        </w:rPr>
        <w:t xml:space="preserve">Terra Woningen BV v the Netherlands </w:t>
      </w:r>
      <w:r>
        <w:rPr>
          <w:lang w:val="en-CA"/>
        </w:rPr>
        <w:t xml:space="preserve">(1997) 24 E.H.R.R. 456, para.52 and </w:t>
      </w:r>
      <w:r w:rsidRPr="00730979">
        <w:rPr>
          <w:rFonts w:cs="Times New Roman"/>
          <w:i/>
          <w:lang w:val="en-CA"/>
        </w:rPr>
        <w:t xml:space="preserve">Hummatov v Azerbaijan </w:t>
      </w:r>
      <w:r w:rsidRPr="00730979">
        <w:rPr>
          <w:rFonts w:cs="Times New Roman"/>
          <w:lang w:val="en-CA"/>
        </w:rPr>
        <w:t xml:space="preserve">(2009) 49 E.H.R.R. 36, para.142. </w:t>
      </w:r>
      <w:r>
        <w:rPr>
          <w:rFonts w:cs="Times New Roman"/>
          <w:lang w:val="en-CA"/>
        </w:rPr>
        <w:t>S</w:t>
      </w:r>
      <w:r w:rsidRPr="00603427">
        <w:rPr>
          <w:rFonts w:cs="Times New Roman"/>
          <w:lang w:val="en-CA"/>
        </w:rPr>
        <w:t>ee</w:t>
      </w:r>
      <w:r>
        <w:rPr>
          <w:rFonts w:cs="Times New Roman"/>
          <w:lang w:val="en-CA"/>
        </w:rPr>
        <w:t xml:space="preserve"> also </w:t>
      </w:r>
      <w:hyperlink r:id="rId11" w:history="1">
        <w:r w:rsidRPr="00603427">
          <w:rPr>
            <w:rStyle w:val="Hipercze"/>
            <w:lang w:val="en-US"/>
          </w:rPr>
          <w:t>http://www.echr.coe.int/Documents/Guide_Art_6_ENG.pdf</w:t>
        </w:r>
      </w:hyperlink>
      <w:r>
        <w:rPr>
          <w:lang w:val="en-US"/>
        </w:rPr>
        <w:t xml:space="preserve"> (Accessed July 27, 2016), pp.21-2</w:t>
      </w:r>
      <w:r w:rsidRPr="00E11DAC">
        <w:rPr>
          <w:lang w:val="en-US"/>
        </w:rPr>
        <w:t>3</w:t>
      </w:r>
      <w:r>
        <w:rPr>
          <w:lang w:val="en-US"/>
        </w:rPr>
        <w:t>.</w:t>
      </w:r>
    </w:p>
  </w:footnote>
  <w:footnote w:id="67">
    <w:p w14:paraId="6C93C6BE" w14:textId="77777777" w:rsidR="00B402A7" w:rsidRPr="00E232BC" w:rsidRDefault="00B402A7" w:rsidP="001B7BAC">
      <w:pPr>
        <w:pStyle w:val="Tekstprzypisudolnego"/>
        <w:jc w:val="both"/>
        <w:rPr>
          <w:lang w:val="en-CA"/>
        </w:rPr>
      </w:pPr>
      <w:r w:rsidRPr="002B3E70">
        <w:rPr>
          <w:rStyle w:val="Odwoanieprzypisudolnego"/>
        </w:rPr>
        <w:footnoteRef/>
      </w:r>
      <w:r w:rsidRPr="00A35714">
        <w:rPr>
          <w:lang w:val="en-CA"/>
        </w:rPr>
        <w:t xml:space="preserve"> </w:t>
      </w:r>
      <w:r w:rsidRPr="00A35714">
        <w:rPr>
          <w:rFonts w:cs="Times New Roman"/>
          <w:i/>
          <w:lang w:val="en-CA"/>
        </w:rPr>
        <w:t xml:space="preserve">Albert and Le Compte v Belgium </w:t>
      </w:r>
      <w:r w:rsidRPr="00A35714">
        <w:rPr>
          <w:rFonts w:cs="Times New Roman"/>
          <w:lang w:val="en-CA"/>
        </w:rPr>
        <w:t>(1983) 5 E.H.R.R. 533, para.</w:t>
      </w:r>
      <w:r w:rsidRPr="00A35714">
        <w:rPr>
          <w:lang w:val="en-CA"/>
        </w:rPr>
        <w:t>36 (</w:t>
      </w:r>
      <w:r w:rsidRPr="00A35714">
        <w:rPr>
          <w:rFonts w:cs="Times New Roman"/>
          <w:lang w:val="en-CA"/>
        </w:rPr>
        <w:t>civil case)</w:t>
      </w:r>
      <w:r>
        <w:rPr>
          <w:rFonts w:cs="Times New Roman"/>
          <w:lang w:val="en-CA"/>
        </w:rPr>
        <w:t>. See, in the same sense, also</w:t>
      </w:r>
      <w:r w:rsidRPr="00A35714">
        <w:rPr>
          <w:rFonts w:cs="Times New Roman"/>
          <w:lang w:val="en-CA"/>
        </w:rPr>
        <w:t xml:space="preserve"> </w:t>
      </w:r>
      <w:r w:rsidRPr="00A35714">
        <w:rPr>
          <w:i/>
          <w:lang w:val="en-CA"/>
        </w:rPr>
        <w:t>Le Compte, Van Leuven and De Meyere v Belgium</w:t>
      </w:r>
      <w:r w:rsidRPr="00A35714">
        <w:rPr>
          <w:lang w:val="en-CA"/>
        </w:rPr>
        <w:t xml:space="preserve"> (1982) 4 E.H.R.R. 1, para.51(b) (civil case</w:t>
      </w:r>
      <w:r w:rsidRPr="00A35714">
        <w:rPr>
          <w:rFonts w:cs="Times New Roman"/>
          <w:lang w:val="en-CA"/>
        </w:rPr>
        <w:t>)</w:t>
      </w:r>
      <w:r>
        <w:rPr>
          <w:rFonts w:cs="Times New Roman"/>
          <w:lang w:val="en-CA"/>
        </w:rPr>
        <w:t xml:space="preserve">; </w:t>
      </w:r>
      <w:r w:rsidRPr="00A35714">
        <w:rPr>
          <w:i/>
          <w:lang w:val="en-CA"/>
        </w:rPr>
        <w:t>Diennet v France</w:t>
      </w:r>
      <w:r w:rsidRPr="00A35714">
        <w:rPr>
          <w:lang w:val="en-CA"/>
        </w:rPr>
        <w:t xml:space="preserve"> (1996) 21 E.H.R.R. 554, para.34 </w:t>
      </w:r>
      <w:r w:rsidRPr="00A35714">
        <w:rPr>
          <w:rFonts w:cs="Times New Roman"/>
          <w:lang w:val="en-CA"/>
        </w:rPr>
        <w:t>(</w:t>
      </w:r>
      <w:r w:rsidRPr="00A35714">
        <w:rPr>
          <w:lang w:val="en-CA"/>
        </w:rPr>
        <w:t>civil case</w:t>
      </w:r>
      <w:r w:rsidRPr="00A35714">
        <w:rPr>
          <w:rFonts w:cs="Times New Roman"/>
          <w:lang w:val="en-CA"/>
        </w:rPr>
        <w:t>)</w:t>
      </w:r>
      <w:r>
        <w:rPr>
          <w:lang w:val="en-CA"/>
        </w:rPr>
        <w:t xml:space="preserve"> and</w:t>
      </w:r>
      <w:r w:rsidRPr="00B16358">
        <w:rPr>
          <w:lang w:val="en-CA"/>
        </w:rPr>
        <w:t xml:space="preserve"> </w:t>
      </w:r>
      <w:r w:rsidRPr="00B16358">
        <w:rPr>
          <w:i/>
          <w:lang w:val="en-CA"/>
        </w:rPr>
        <w:t xml:space="preserve">Merigaud v France (App. No.32976/04), decision of September 24, 2009, </w:t>
      </w:r>
      <w:r w:rsidRPr="00B16358">
        <w:rPr>
          <w:lang w:val="en-CA"/>
        </w:rPr>
        <w:t>para.69 (criminal charge).</w:t>
      </w:r>
    </w:p>
  </w:footnote>
  <w:footnote w:id="68">
    <w:p w14:paraId="25B98CE1" w14:textId="77777777" w:rsidR="00B402A7" w:rsidRPr="00B16358" w:rsidRDefault="00B402A7" w:rsidP="001B7BAC">
      <w:pPr>
        <w:pStyle w:val="Tekstprzypisudolnego"/>
        <w:jc w:val="both"/>
        <w:rPr>
          <w:lang w:val="es-ES"/>
        </w:rPr>
      </w:pPr>
      <w:r w:rsidRPr="00CA1E1A">
        <w:rPr>
          <w:rStyle w:val="Odwoanieprzypisudolnego"/>
        </w:rPr>
        <w:footnoteRef/>
      </w:r>
      <w:r w:rsidRPr="00B16358">
        <w:rPr>
          <w:lang w:val="es-ES"/>
        </w:rPr>
        <w:t xml:space="preserve"> </w:t>
      </w:r>
      <w:r w:rsidRPr="00B16358">
        <w:rPr>
          <w:rFonts w:cs="Times New Roman"/>
          <w:i/>
          <w:lang w:val="es-ES"/>
        </w:rPr>
        <w:t xml:space="preserve">Hummatov v Azerbaijan </w:t>
      </w:r>
      <w:r w:rsidRPr="00B16358">
        <w:rPr>
          <w:rFonts w:cs="Times New Roman"/>
          <w:lang w:val="es-ES"/>
        </w:rPr>
        <w:t>(2009) 49 E.H.R.R. 36, para.142 (</w:t>
      </w:r>
      <w:r w:rsidRPr="00B16358">
        <w:rPr>
          <w:lang w:val="es-ES"/>
        </w:rPr>
        <w:t>criminal charge).</w:t>
      </w:r>
      <w:r w:rsidRPr="00B16358">
        <w:rPr>
          <w:highlight w:val="yellow"/>
          <w:lang w:val="es-ES"/>
        </w:rPr>
        <w:t xml:space="preserve"> </w:t>
      </w:r>
    </w:p>
  </w:footnote>
  <w:footnote w:id="69">
    <w:p w14:paraId="12B28CF5" w14:textId="5E43358F" w:rsidR="00B402A7" w:rsidRPr="00DF47B1" w:rsidRDefault="00B402A7" w:rsidP="001B7BAC">
      <w:pPr>
        <w:pStyle w:val="Nagwek1"/>
        <w:shd w:val="clear" w:color="auto" w:fill="FFFFFF"/>
        <w:spacing w:before="0" w:line="240" w:lineRule="auto"/>
        <w:jc w:val="both"/>
        <w:textAlignment w:val="baseline"/>
        <w:rPr>
          <w:rFonts w:asciiTheme="minorHAnsi" w:hAnsiTheme="minorHAnsi" w:cs="Arial"/>
          <w:b w:val="0"/>
          <w:color w:val="222222"/>
          <w:sz w:val="20"/>
          <w:szCs w:val="20"/>
        </w:rPr>
      </w:pPr>
      <w:r w:rsidRPr="001C0DD8">
        <w:rPr>
          <w:rStyle w:val="Odwoanieprzypisudolnego"/>
          <w:rFonts w:asciiTheme="minorHAnsi" w:hAnsiTheme="minorHAnsi"/>
          <w:b w:val="0"/>
          <w:color w:val="auto"/>
          <w:sz w:val="20"/>
          <w:szCs w:val="20"/>
        </w:rPr>
        <w:footnoteRef/>
      </w:r>
      <w:r w:rsidRPr="001C0DD8">
        <w:rPr>
          <w:rFonts w:asciiTheme="minorHAnsi" w:hAnsiTheme="minorHAnsi"/>
          <w:b w:val="0"/>
          <w:color w:val="auto"/>
          <w:sz w:val="20"/>
          <w:szCs w:val="20"/>
        </w:rPr>
        <w:t xml:space="preserve"> </w:t>
      </w:r>
      <w:r>
        <w:rPr>
          <w:rFonts w:asciiTheme="minorHAnsi" w:hAnsiTheme="minorHAnsi" w:cs="Times New Roman"/>
          <w:b w:val="0"/>
          <w:color w:val="auto"/>
          <w:sz w:val="20"/>
          <w:szCs w:val="20"/>
        </w:rPr>
        <w:t>A</w:t>
      </w:r>
      <w:r w:rsidRPr="001C0DD8">
        <w:rPr>
          <w:rFonts w:asciiTheme="minorHAnsi" w:hAnsiTheme="minorHAnsi" w:cs="Times New Roman"/>
          <w:b w:val="0"/>
          <w:color w:val="auto"/>
          <w:sz w:val="20"/>
          <w:szCs w:val="20"/>
        </w:rPr>
        <w:t>s already stated by van Emmerik and Saris</w:t>
      </w:r>
      <w:r w:rsidRPr="001C0DD8">
        <w:rPr>
          <w:rFonts w:asciiTheme="minorHAnsi" w:eastAsia="PMingLiU" w:hAnsiTheme="minorHAnsi" w:cstheme="minorBidi"/>
          <w:b w:val="0"/>
          <w:bCs w:val="0"/>
          <w:color w:val="auto"/>
          <w:sz w:val="20"/>
          <w:szCs w:val="20"/>
        </w:rPr>
        <w:t xml:space="preserve"> in Michiel L. van Emmerik and Christien M. Saris, </w:t>
      </w:r>
      <w:r w:rsidRPr="00B16358">
        <w:rPr>
          <w:rFonts w:asciiTheme="minorHAnsi" w:eastAsia="PMingLiU" w:hAnsiTheme="minorHAnsi" w:cstheme="minorBidi"/>
          <w:b w:val="0"/>
          <w:bCs w:val="0"/>
          <w:color w:val="auto"/>
          <w:sz w:val="20"/>
          <w:szCs w:val="20"/>
        </w:rPr>
        <w:t xml:space="preserve">“Evenredige bestuurlijke boetes, Preadvies voor de Vereniging voor Bestuursrecht (VAR), </w:t>
      </w:r>
      <w:hyperlink r:id="rId12" w:history="1">
        <w:r w:rsidRPr="00B16358">
          <w:rPr>
            <w:rFonts w:asciiTheme="minorHAnsi" w:eastAsia="PMingLiU" w:hAnsiTheme="minorHAnsi" w:cstheme="minorBidi"/>
            <w:b w:val="0"/>
            <w:bCs w:val="0"/>
            <w:color w:val="auto"/>
            <w:sz w:val="20"/>
            <w:szCs w:val="20"/>
          </w:rPr>
          <w:t>www.stibbe.com</w:t>
        </w:r>
      </w:hyperlink>
      <w:r w:rsidRPr="00B16358">
        <w:rPr>
          <w:rFonts w:asciiTheme="minorHAnsi" w:eastAsia="PMingLiU" w:hAnsiTheme="minorHAnsi" w:cstheme="minorBidi"/>
          <w:b w:val="0"/>
          <w:bCs w:val="0"/>
          <w:color w:val="auto"/>
          <w:sz w:val="20"/>
          <w:szCs w:val="20"/>
        </w:rPr>
        <w:t xml:space="preserve"> (Accessed July 27, 2016</w:t>
      </w:r>
      <w:r w:rsidRPr="00DF47B1">
        <w:rPr>
          <w:rFonts w:asciiTheme="minorHAnsi" w:hAnsiTheme="minorHAnsi" w:cs="Arial"/>
          <w:b w:val="0"/>
          <w:color w:val="auto"/>
          <w:sz w:val="20"/>
          <w:szCs w:val="20"/>
        </w:rPr>
        <w:t>)</w:t>
      </w:r>
      <w:r>
        <w:rPr>
          <w:rFonts w:asciiTheme="minorHAnsi" w:hAnsiTheme="minorHAnsi" w:cs="Arial"/>
          <w:b w:val="0"/>
          <w:color w:val="auto"/>
          <w:sz w:val="20"/>
          <w:szCs w:val="20"/>
        </w:rPr>
        <w:t>, p.135</w:t>
      </w:r>
      <w:r w:rsidRPr="00DF47B1">
        <w:rPr>
          <w:rFonts w:asciiTheme="minorHAnsi" w:hAnsiTheme="minorHAnsi" w:cs="Arial"/>
          <w:b w:val="0"/>
          <w:color w:val="auto"/>
          <w:sz w:val="20"/>
          <w:szCs w:val="20"/>
        </w:rPr>
        <w:t>.</w:t>
      </w:r>
    </w:p>
  </w:footnote>
  <w:footnote w:id="70">
    <w:p w14:paraId="7E06858D" w14:textId="5591AE96" w:rsidR="00B402A7" w:rsidRPr="004702EB" w:rsidRDefault="00B402A7" w:rsidP="001B7BAC">
      <w:pPr>
        <w:pStyle w:val="Tekstprzypisudolnego"/>
        <w:jc w:val="both"/>
        <w:rPr>
          <w:lang w:val="en-CA"/>
        </w:rPr>
      </w:pPr>
      <w:r>
        <w:rPr>
          <w:rStyle w:val="Odwoanieprzypisudolnego"/>
        </w:rPr>
        <w:footnoteRef/>
      </w:r>
      <w:r w:rsidRPr="004702EB">
        <w:rPr>
          <w:lang w:val="en-CA"/>
        </w:rPr>
        <w:t xml:space="preserve"> </w:t>
      </w:r>
      <w:r>
        <w:rPr>
          <w:lang w:val="en-CA"/>
        </w:rPr>
        <w:t xml:space="preserve">See, e.g. </w:t>
      </w:r>
      <w:r w:rsidRPr="00A35714">
        <w:rPr>
          <w:rFonts w:cs="Times New Roman"/>
          <w:i/>
          <w:lang w:val="en-CA"/>
        </w:rPr>
        <w:t xml:space="preserve">Albert and Le Compte v Belgium </w:t>
      </w:r>
      <w:r w:rsidRPr="00A35714">
        <w:rPr>
          <w:rFonts w:cs="Times New Roman"/>
          <w:lang w:val="en-CA"/>
        </w:rPr>
        <w:t>(1983) 5 E.H.R.R. 533, para.</w:t>
      </w:r>
      <w:r w:rsidRPr="00A35714">
        <w:rPr>
          <w:lang w:val="en-CA"/>
        </w:rPr>
        <w:t>36 (</w:t>
      </w:r>
      <w:r>
        <w:rPr>
          <w:rFonts w:cs="Times New Roman"/>
          <w:lang w:val="en-CA"/>
        </w:rPr>
        <w:t>civil case</w:t>
      </w:r>
      <w:r w:rsidRPr="00A35714">
        <w:rPr>
          <w:rFonts w:cs="Times New Roman"/>
          <w:lang w:val="en-CA"/>
        </w:rPr>
        <w:t>)</w:t>
      </w:r>
      <w:r>
        <w:rPr>
          <w:rFonts w:cs="Times New Roman"/>
          <w:lang w:val="en-CA"/>
        </w:rPr>
        <w:t xml:space="preserve">; </w:t>
      </w:r>
      <w:r w:rsidRPr="00A35714">
        <w:rPr>
          <w:i/>
          <w:lang w:val="en-CA"/>
        </w:rPr>
        <w:t>Diennet v France</w:t>
      </w:r>
      <w:r w:rsidRPr="00A35714">
        <w:rPr>
          <w:lang w:val="en-CA"/>
        </w:rPr>
        <w:t xml:space="preserve"> (1996) 21 E.H.R.R. 554, para.34 </w:t>
      </w:r>
      <w:r w:rsidRPr="00A35714">
        <w:rPr>
          <w:rFonts w:cs="Times New Roman"/>
          <w:lang w:val="en-CA"/>
        </w:rPr>
        <w:t>(</w:t>
      </w:r>
      <w:r w:rsidRPr="00A35714">
        <w:rPr>
          <w:lang w:val="en-CA"/>
        </w:rPr>
        <w:t>civil case</w:t>
      </w:r>
      <w:r w:rsidRPr="00A35714">
        <w:rPr>
          <w:rFonts w:cs="Times New Roman"/>
          <w:lang w:val="en-CA"/>
        </w:rPr>
        <w:t>)</w:t>
      </w:r>
      <w:r>
        <w:rPr>
          <w:lang w:val="en-CA"/>
        </w:rPr>
        <w:t xml:space="preserve">; </w:t>
      </w:r>
      <w:r w:rsidRPr="00B16358">
        <w:rPr>
          <w:i/>
          <w:lang w:val="en-CA"/>
        </w:rPr>
        <w:t xml:space="preserve">Merigaud v France (App. No.32976/04), decision of September 24, 2009, </w:t>
      </w:r>
      <w:r w:rsidRPr="00B16358">
        <w:rPr>
          <w:lang w:val="en-CA"/>
        </w:rPr>
        <w:t>para.69 (criminal charge)</w:t>
      </w:r>
      <w:r>
        <w:rPr>
          <w:lang w:val="en-CA"/>
        </w:rPr>
        <w:t xml:space="preserve"> and </w:t>
      </w:r>
      <w:r w:rsidRPr="009E40D1">
        <w:rPr>
          <w:rFonts w:cs="Times New Roman"/>
          <w:i/>
          <w:lang w:val="en-CA"/>
        </w:rPr>
        <w:t xml:space="preserve">Hummatov v Azerbaijan </w:t>
      </w:r>
      <w:r w:rsidRPr="009E40D1">
        <w:rPr>
          <w:rFonts w:cs="Times New Roman"/>
          <w:lang w:val="en-CA"/>
        </w:rPr>
        <w:t>(2009) 49 E.H.R.R. 36, para.142 (</w:t>
      </w:r>
      <w:r w:rsidRPr="009E40D1">
        <w:rPr>
          <w:lang w:val="en-CA"/>
        </w:rPr>
        <w:t>criminal charge)</w:t>
      </w:r>
      <w:r>
        <w:rPr>
          <w:lang w:val="en-CA"/>
        </w:rPr>
        <w:t>.</w:t>
      </w:r>
      <w:r w:rsidRPr="004702EB">
        <w:rPr>
          <w:lang w:val="en-CA"/>
        </w:rPr>
        <w:t xml:space="preserve"> </w:t>
      </w:r>
    </w:p>
  </w:footnote>
  <w:footnote w:id="71">
    <w:p w14:paraId="6F1C1CD4" w14:textId="77777777" w:rsidR="00B402A7" w:rsidRPr="00AC1E35" w:rsidRDefault="00B402A7" w:rsidP="001B7BAC">
      <w:pPr>
        <w:pStyle w:val="Tekstprzypisudolnego"/>
        <w:jc w:val="both"/>
        <w:rPr>
          <w:i/>
          <w:lang w:val="en-US"/>
        </w:rPr>
      </w:pPr>
      <w:r>
        <w:rPr>
          <w:rStyle w:val="Odwoanieprzypisudolnego"/>
        </w:rPr>
        <w:footnoteRef/>
      </w:r>
      <w:r w:rsidRPr="00AC1E35">
        <w:rPr>
          <w:lang w:val="en-US"/>
        </w:rPr>
        <w:t xml:space="preserve"> </w:t>
      </w:r>
      <w:r>
        <w:rPr>
          <w:lang w:val="en-US"/>
        </w:rPr>
        <w:t xml:space="preserve">See </w:t>
      </w:r>
      <w:r>
        <w:rPr>
          <w:i/>
          <w:lang w:val="en-US"/>
        </w:rPr>
        <w:t>supra.</w:t>
      </w:r>
    </w:p>
  </w:footnote>
  <w:footnote w:id="72">
    <w:p w14:paraId="248AF45E" w14:textId="51AEB40C" w:rsidR="00B402A7" w:rsidRPr="00632761" w:rsidRDefault="00B402A7" w:rsidP="001B7BAC">
      <w:pPr>
        <w:pStyle w:val="Tekstprzypisudolnego"/>
        <w:jc w:val="both"/>
        <w:rPr>
          <w:lang w:val="en-CA"/>
        </w:rPr>
      </w:pPr>
      <w:r w:rsidRPr="00632761">
        <w:rPr>
          <w:rStyle w:val="Odwoanieprzypisudolnego"/>
        </w:rPr>
        <w:footnoteRef/>
      </w:r>
      <w:r w:rsidRPr="00632761">
        <w:rPr>
          <w:lang w:val="en-CA"/>
        </w:rPr>
        <w:t xml:space="preserve"> </w:t>
      </w:r>
      <w:r w:rsidRPr="00632761">
        <w:rPr>
          <w:lang w:val="en-US"/>
        </w:rPr>
        <w:t xml:space="preserve">RvS May 15, 2014, No.227.421, </w:t>
      </w:r>
      <w:r w:rsidRPr="00B224F3">
        <w:rPr>
          <w:smallCaps/>
          <w:lang w:val="en-US"/>
        </w:rPr>
        <w:t>BVBA</w:t>
      </w:r>
      <w:r w:rsidRPr="00B224F3">
        <w:rPr>
          <w:lang w:val="en-US"/>
        </w:rPr>
        <w:t xml:space="preserve"> </w:t>
      </w:r>
      <w:r>
        <w:rPr>
          <w:lang w:val="en-US"/>
        </w:rPr>
        <w:t>Buka para.</w:t>
      </w:r>
      <w:r>
        <w:rPr>
          <w:lang w:val="en-CA"/>
        </w:rPr>
        <w:t>7</w:t>
      </w:r>
      <w:r w:rsidRPr="00632761">
        <w:rPr>
          <w:lang w:val="en-CA"/>
        </w:rPr>
        <w:t xml:space="preserve"> and </w:t>
      </w:r>
      <w:r w:rsidRPr="00632761">
        <w:rPr>
          <w:lang w:val="en-US"/>
        </w:rPr>
        <w:t xml:space="preserve">RvS July 29, 2014, No. 228.130, </w:t>
      </w:r>
      <w:r w:rsidRPr="00B224F3">
        <w:rPr>
          <w:smallCaps/>
          <w:lang w:val="en-US"/>
        </w:rPr>
        <w:t>BVBA</w:t>
      </w:r>
      <w:r w:rsidRPr="00B224F3">
        <w:rPr>
          <w:lang w:val="en-US"/>
        </w:rPr>
        <w:t xml:space="preserve"> </w:t>
      </w:r>
      <w:r>
        <w:rPr>
          <w:lang w:val="en-US"/>
        </w:rPr>
        <w:t>HS Trading para.8.</w:t>
      </w:r>
    </w:p>
  </w:footnote>
  <w:footnote w:id="73">
    <w:p w14:paraId="01CD7DAA" w14:textId="3414A7C7" w:rsidR="00B402A7" w:rsidRPr="00632761" w:rsidRDefault="00B402A7" w:rsidP="001B7BAC">
      <w:pPr>
        <w:pStyle w:val="Tekstprzypisudolnego"/>
        <w:jc w:val="both"/>
        <w:rPr>
          <w:lang w:val="en-CA"/>
        </w:rPr>
      </w:pPr>
      <w:r w:rsidRPr="00632761">
        <w:rPr>
          <w:rStyle w:val="Odwoanieprzypisudolnego"/>
        </w:rPr>
        <w:footnoteRef/>
      </w:r>
      <w:r w:rsidRPr="00632761">
        <w:rPr>
          <w:lang w:val="en-CA"/>
        </w:rPr>
        <w:t xml:space="preserve"> </w:t>
      </w:r>
      <w:r w:rsidRPr="00632761">
        <w:rPr>
          <w:lang w:val="en-US"/>
        </w:rPr>
        <w:t xml:space="preserve">RvS May 15, 2014, No.227.421, </w:t>
      </w:r>
      <w:r w:rsidRPr="00B224F3">
        <w:rPr>
          <w:smallCaps/>
          <w:lang w:val="en-US"/>
        </w:rPr>
        <w:t>BVBA</w:t>
      </w:r>
      <w:r w:rsidRPr="00B224F3">
        <w:rPr>
          <w:lang w:val="en-US"/>
        </w:rPr>
        <w:t xml:space="preserve"> </w:t>
      </w:r>
      <w:r>
        <w:rPr>
          <w:lang w:val="en-US"/>
        </w:rPr>
        <w:t xml:space="preserve">Buka paras.15-16 </w:t>
      </w:r>
      <w:r w:rsidRPr="00632761">
        <w:rPr>
          <w:lang w:val="en-CA"/>
        </w:rPr>
        <w:t xml:space="preserve">and </w:t>
      </w:r>
      <w:r w:rsidRPr="00632761">
        <w:rPr>
          <w:lang w:val="en-US"/>
        </w:rPr>
        <w:t xml:space="preserve">RvS July 29, 2014, No. 228.130, </w:t>
      </w:r>
      <w:r w:rsidRPr="00B224F3">
        <w:rPr>
          <w:smallCaps/>
          <w:lang w:val="en-US"/>
        </w:rPr>
        <w:t>BVBA</w:t>
      </w:r>
      <w:r w:rsidRPr="00B224F3">
        <w:rPr>
          <w:lang w:val="en-US"/>
        </w:rPr>
        <w:t xml:space="preserve"> </w:t>
      </w:r>
      <w:r>
        <w:rPr>
          <w:lang w:val="en-US"/>
        </w:rPr>
        <w:t>HS Trading paras.11-12.</w:t>
      </w:r>
    </w:p>
  </w:footnote>
  <w:footnote w:id="74">
    <w:p w14:paraId="435A891F" w14:textId="2A987EE3" w:rsidR="00B402A7" w:rsidRPr="0051666C" w:rsidRDefault="00B402A7" w:rsidP="001B7BAC">
      <w:pPr>
        <w:spacing w:after="0" w:line="240" w:lineRule="auto"/>
        <w:jc w:val="both"/>
        <w:rPr>
          <w:sz w:val="20"/>
          <w:szCs w:val="20"/>
          <w:lang w:val="en-CA"/>
        </w:rPr>
      </w:pPr>
      <w:r w:rsidRPr="00632761">
        <w:rPr>
          <w:rStyle w:val="Odwoanieprzypisudolnego"/>
          <w:sz w:val="20"/>
          <w:szCs w:val="20"/>
        </w:rPr>
        <w:footnoteRef/>
      </w:r>
      <w:r w:rsidRPr="00913A16">
        <w:rPr>
          <w:sz w:val="20"/>
          <w:szCs w:val="20"/>
          <w:lang w:val="en-CA"/>
        </w:rPr>
        <w:t xml:space="preserve"> </w:t>
      </w:r>
      <w:r>
        <w:rPr>
          <w:sz w:val="20"/>
          <w:szCs w:val="20"/>
          <w:lang w:val="en-CA"/>
        </w:rPr>
        <w:t xml:space="preserve">See, e.g. </w:t>
      </w:r>
      <w:r w:rsidRPr="00913A16">
        <w:rPr>
          <w:sz w:val="20"/>
          <w:szCs w:val="20"/>
          <w:lang w:val="en-CA"/>
        </w:rPr>
        <w:t xml:space="preserve">RvS June 26, 2013, No. 224.084, </w:t>
      </w:r>
      <w:r w:rsidRPr="00B224F3">
        <w:rPr>
          <w:smallCaps/>
          <w:sz w:val="20"/>
          <w:szCs w:val="20"/>
          <w:lang w:val="en-US"/>
        </w:rPr>
        <w:t>BVBA</w:t>
      </w:r>
      <w:r w:rsidRPr="00B224F3">
        <w:rPr>
          <w:sz w:val="20"/>
          <w:szCs w:val="20"/>
          <w:lang w:val="en-US"/>
        </w:rPr>
        <w:t xml:space="preserve"> </w:t>
      </w:r>
      <w:r w:rsidRPr="00913A16">
        <w:rPr>
          <w:sz w:val="20"/>
          <w:szCs w:val="20"/>
          <w:lang w:val="en-CA"/>
        </w:rPr>
        <w:t>Vision BD; RvS December 13, 2012, No. 221.</w:t>
      </w:r>
      <w:r w:rsidRPr="00913A16">
        <w:rPr>
          <w:smallCaps/>
          <w:sz w:val="20"/>
          <w:szCs w:val="20"/>
          <w:lang w:val="en-CA"/>
        </w:rPr>
        <w:t>751</w:t>
      </w:r>
      <w:r w:rsidRPr="00913A16">
        <w:rPr>
          <w:sz w:val="20"/>
          <w:szCs w:val="20"/>
          <w:lang w:val="en-CA"/>
        </w:rPr>
        <w:t xml:space="preserve">, </w:t>
      </w:r>
      <w:r w:rsidRPr="00913A16">
        <w:rPr>
          <w:smallCaps/>
          <w:sz w:val="20"/>
          <w:szCs w:val="20"/>
          <w:lang w:val="en-CA"/>
        </w:rPr>
        <w:t>nv</w:t>
      </w:r>
      <w:r w:rsidRPr="00913A16">
        <w:rPr>
          <w:sz w:val="20"/>
          <w:szCs w:val="20"/>
          <w:lang w:val="en-CA"/>
        </w:rPr>
        <w:t xml:space="preserve"> Fauwater Hotel &amp; Chaletpark; RvS December 2, 2010, No. 209.414, </w:t>
      </w:r>
      <w:r w:rsidRPr="00913A16">
        <w:rPr>
          <w:smallCaps/>
          <w:sz w:val="20"/>
          <w:szCs w:val="20"/>
          <w:lang w:val="en-CA"/>
        </w:rPr>
        <w:t>vzw</w:t>
      </w:r>
      <w:r w:rsidRPr="00913A16">
        <w:rPr>
          <w:sz w:val="20"/>
          <w:szCs w:val="20"/>
          <w:lang w:val="en-CA"/>
        </w:rPr>
        <w:t xml:space="preserve"> Racing Club Roeselaere and RvS November 9, 2009, No. 197.670, Ajaz </w:t>
      </w:r>
      <w:r w:rsidRPr="00913A16">
        <w:rPr>
          <w:i/>
          <w:sz w:val="20"/>
          <w:szCs w:val="20"/>
          <w:lang w:val="en-CA"/>
        </w:rPr>
        <w:t>et al</w:t>
      </w:r>
      <w:r w:rsidRPr="0051666C">
        <w:rPr>
          <w:rFonts w:cs="Times New Roman"/>
          <w:sz w:val="20"/>
          <w:szCs w:val="20"/>
          <w:lang w:val="en-CA"/>
        </w:rPr>
        <w:t>.</w:t>
      </w:r>
    </w:p>
  </w:footnote>
  <w:footnote w:id="75">
    <w:p w14:paraId="034B441B" w14:textId="255E1448" w:rsidR="00B402A7" w:rsidRPr="009A07D3" w:rsidRDefault="00B402A7" w:rsidP="001B7BAC">
      <w:pPr>
        <w:pStyle w:val="Tekstprzypisudolnego"/>
        <w:jc w:val="both"/>
        <w:rPr>
          <w:lang w:val="en-CA"/>
        </w:rPr>
      </w:pPr>
      <w:r w:rsidRPr="00632761">
        <w:rPr>
          <w:rStyle w:val="Odwoanieprzypisudolnego"/>
        </w:rPr>
        <w:footnoteRef/>
      </w:r>
      <w:r w:rsidRPr="009A07D3">
        <w:rPr>
          <w:lang w:val="en-CA"/>
        </w:rPr>
        <w:t xml:space="preserve"> RvS November 9, 2009, No. 197.670, Ajaz </w:t>
      </w:r>
      <w:r w:rsidRPr="009A07D3">
        <w:rPr>
          <w:i/>
          <w:lang w:val="en-CA"/>
        </w:rPr>
        <w:t>et al</w:t>
      </w:r>
      <w:r w:rsidRPr="009A07D3">
        <w:rPr>
          <w:lang w:val="en-CA"/>
        </w:rPr>
        <w:t>.</w:t>
      </w:r>
      <w:r w:rsidRPr="009A07D3">
        <w:rPr>
          <w:rFonts w:cs="Times New Roman"/>
          <w:lang w:val="en-CA"/>
        </w:rPr>
        <w:t xml:space="preserve">; </w:t>
      </w:r>
      <w:r w:rsidRPr="009A07D3">
        <w:rPr>
          <w:lang w:val="en-CA"/>
        </w:rPr>
        <w:t xml:space="preserve">RvS February 19, 2002, No. 103.730, Snellings </w:t>
      </w:r>
      <w:r w:rsidRPr="009A07D3">
        <w:rPr>
          <w:i/>
          <w:lang w:val="en-CA"/>
        </w:rPr>
        <w:t>et al</w:t>
      </w:r>
      <w:r w:rsidRPr="009A07D3">
        <w:rPr>
          <w:lang w:val="en-CA"/>
        </w:rPr>
        <w:t xml:space="preserve">; RvS October 24, 2000, No. 90.369, De Proft and RvS December 7, 1999, No. 83.940, </w:t>
      </w:r>
      <w:r w:rsidRPr="009A07D3">
        <w:rPr>
          <w:smallCaps/>
          <w:lang w:val="en-CA"/>
        </w:rPr>
        <w:t>BVBA</w:t>
      </w:r>
      <w:r w:rsidRPr="009A07D3">
        <w:rPr>
          <w:lang w:val="en-CA"/>
        </w:rPr>
        <w:t xml:space="preserve"> Ramses.</w:t>
      </w:r>
    </w:p>
  </w:footnote>
  <w:footnote w:id="76">
    <w:p w14:paraId="7980821E" w14:textId="35EFD633" w:rsidR="00B402A7" w:rsidRPr="0051666C" w:rsidRDefault="00B402A7" w:rsidP="001B7BAC">
      <w:pPr>
        <w:pStyle w:val="Tekstprzypisudolnego"/>
        <w:jc w:val="both"/>
        <w:rPr>
          <w:lang w:val="en-CA"/>
        </w:rPr>
      </w:pPr>
      <w:r>
        <w:rPr>
          <w:rStyle w:val="Odwoanieprzypisudolnego"/>
        </w:rPr>
        <w:footnoteRef/>
      </w:r>
      <w:r w:rsidRPr="0052668D">
        <w:t xml:space="preserve"> For further discussion and</w:t>
      </w:r>
      <w:r>
        <w:t xml:space="preserve"> </w:t>
      </w:r>
      <w:r w:rsidRPr="0052668D">
        <w:t xml:space="preserve">references see Liesbeth Todts, </w:t>
      </w:r>
      <w:r>
        <w:t>“</w:t>
      </w:r>
      <w:r w:rsidRPr="0052668D">
        <w:t xml:space="preserve">Het evenredigheidsbeginsel bij administratieve sancties en politiemaatregelen: de ene evenredigheid is de andere niet?” </w:t>
      </w:r>
      <w:r w:rsidRPr="0051666C">
        <w:rPr>
          <w:lang w:val="en-CA"/>
        </w:rPr>
        <w:t xml:space="preserve">(case note RvS May 8, 2014, No.227.331, </w:t>
      </w:r>
      <w:r w:rsidRPr="0051666C">
        <w:rPr>
          <w:smallCaps/>
          <w:lang w:val="en-CA"/>
        </w:rPr>
        <w:t>BVBA</w:t>
      </w:r>
      <w:r w:rsidRPr="0051666C">
        <w:rPr>
          <w:lang w:val="en-CA"/>
        </w:rPr>
        <w:t xml:space="preserve"> Wedwinkel; RvS May 15, 2014, No.227.421, </w:t>
      </w:r>
      <w:r w:rsidRPr="0051666C">
        <w:rPr>
          <w:smallCaps/>
          <w:lang w:val="en-CA"/>
        </w:rPr>
        <w:t>BVBA</w:t>
      </w:r>
      <w:r w:rsidRPr="0051666C">
        <w:rPr>
          <w:lang w:val="en-CA"/>
        </w:rPr>
        <w:t xml:space="preserve"> Buka and RvS July 29, 2014, No. 228.130, </w:t>
      </w:r>
      <w:r w:rsidRPr="0051666C">
        <w:rPr>
          <w:smallCaps/>
          <w:lang w:val="en-CA"/>
        </w:rPr>
        <w:t>BVBA</w:t>
      </w:r>
      <w:r w:rsidRPr="0051666C">
        <w:rPr>
          <w:lang w:val="en-CA"/>
        </w:rPr>
        <w:t xml:space="preserve"> HS Trading) (2015) 4 T</w:t>
      </w:r>
      <w:r>
        <w:rPr>
          <w:lang w:val="en-CA"/>
        </w:rPr>
        <w:t xml:space="preserve">ijdschrift voor </w:t>
      </w:r>
      <w:r w:rsidRPr="0051666C">
        <w:rPr>
          <w:lang w:val="en-CA"/>
        </w:rPr>
        <w:t>Gem</w:t>
      </w:r>
      <w:r>
        <w:rPr>
          <w:lang w:val="en-CA"/>
        </w:rPr>
        <w:t>eenterecht</w:t>
      </w:r>
      <w:r w:rsidRPr="0051666C">
        <w:rPr>
          <w:lang w:val="en-CA"/>
        </w:rPr>
        <w:t xml:space="preserve"> 286, 289-290</w:t>
      </w:r>
      <w:r w:rsidRPr="0051666C">
        <w:rPr>
          <w:rFonts w:cs="Times New Roman"/>
          <w:lang w:val="en-CA"/>
        </w:rPr>
        <w:t>.</w:t>
      </w:r>
    </w:p>
  </w:footnote>
  <w:footnote w:id="77">
    <w:p w14:paraId="520CAF96" w14:textId="0004B7FF" w:rsidR="00B402A7" w:rsidRPr="008325BD" w:rsidRDefault="00B402A7" w:rsidP="001B7BAC">
      <w:pPr>
        <w:pStyle w:val="Tekstprzypisudolnego"/>
        <w:jc w:val="both"/>
        <w:rPr>
          <w:lang w:val="en-CA"/>
        </w:rPr>
      </w:pPr>
      <w:r w:rsidRPr="008325BD">
        <w:rPr>
          <w:rStyle w:val="Odwoanieprzypisudolnego"/>
        </w:rPr>
        <w:footnoteRef/>
      </w:r>
      <w:r w:rsidRPr="008325BD">
        <w:rPr>
          <w:lang w:val="en-CA"/>
        </w:rPr>
        <w:t xml:space="preserve"> </w:t>
      </w:r>
      <w:r>
        <w:rPr>
          <w:lang w:val="en-CA"/>
        </w:rPr>
        <w:t>S</w:t>
      </w:r>
      <w:r w:rsidRPr="008325BD">
        <w:rPr>
          <w:rFonts w:cs="Times New Roman"/>
          <w:lang w:val="en-CA"/>
        </w:rPr>
        <w:t>ee</w:t>
      </w:r>
      <w:r w:rsidRPr="008325BD">
        <w:rPr>
          <w:lang w:val="en-CA"/>
        </w:rPr>
        <w:t xml:space="preserve"> RvS </w:t>
      </w:r>
      <w:r>
        <w:rPr>
          <w:lang w:val="en-CA"/>
        </w:rPr>
        <w:t>N</w:t>
      </w:r>
      <w:r w:rsidRPr="00A948C4">
        <w:rPr>
          <w:lang w:val="en-CA"/>
        </w:rPr>
        <w:t xml:space="preserve">ovember 9, 2009, </w:t>
      </w:r>
      <w:r w:rsidRPr="0094344B">
        <w:rPr>
          <w:lang w:val="en-CA"/>
        </w:rPr>
        <w:t xml:space="preserve">nr. 197.670, Ajaz </w:t>
      </w:r>
      <w:r w:rsidRPr="0094344B">
        <w:rPr>
          <w:i/>
          <w:lang w:val="en-CA"/>
        </w:rPr>
        <w:t>et al</w:t>
      </w:r>
      <w:r>
        <w:rPr>
          <w:rFonts w:cs="Times New Roman"/>
          <w:lang w:val="en-CA"/>
        </w:rPr>
        <w:t>. The Strasbourg Court, however, does not always request the national authorities to apply the least restrictive measure</w:t>
      </w:r>
      <w:r w:rsidRPr="0094344B">
        <w:rPr>
          <w:rFonts w:cs="Times New Roman"/>
          <w:lang w:val="en-CA"/>
        </w:rPr>
        <w:t xml:space="preserve"> (see </w:t>
      </w:r>
      <w:r w:rsidRPr="0094344B">
        <w:rPr>
          <w:rFonts w:cs="Times New Roman"/>
          <w:lang w:val="en-US"/>
        </w:rPr>
        <w:t xml:space="preserve">Patricia Popelier and Catherine Van De Heyning, “Procedural Rationality: Giving Teeth to the Proportionality Analysis” (2013) 9(2) E.C.L. (230) 234 </w:t>
      </w:r>
      <w:r w:rsidRPr="0094344B">
        <w:rPr>
          <w:rFonts w:cs="Times New Roman"/>
          <w:lang w:val="en-CA"/>
        </w:rPr>
        <w:t>and</w:t>
      </w:r>
      <w:r w:rsidRPr="00A948C4">
        <w:rPr>
          <w:rFonts w:cs="Times New Roman"/>
          <w:lang w:val="en-CA"/>
        </w:rPr>
        <w:t xml:space="preserve"> </w:t>
      </w:r>
      <w:r w:rsidRPr="00A948C4">
        <w:rPr>
          <w:lang w:val="en-US"/>
        </w:rPr>
        <w:t xml:space="preserve">Jonas Christoffersen, </w:t>
      </w:r>
      <w:r w:rsidRPr="00A948C4">
        <w:rPr>
          <w:i/>
          <w:lang w:val="en-US"/>
        </w:rPr>
        <w:t>Fair Balance: A Study of Proportionality, Subsidiarity and Primarity in the European Convention of Human Rights</w:t>
      </w:r>
      <w:r w:rsidRPr="00A948C4">
        <w:rPr>
          <w:lang w:val="en-US"/>
        </w:rPr>
        <w:t xml:space="preserve"> (Martinus Nijhoff Publishers, 2009),</w:t>
      </w:r>
      <w:r>
        <w:rPr>
          <w:lang w:val="en-US"/>
        </w:rPr>
        <w:t xml:space="preserve"> pp.111-129).</w:t>
      </w:r>
    </w:p>
  </w:footnote>
  <w:footnote w:id="78">
    <w:p w14:paraId="526079D6" w14:textId="39278111" w:rsidR="00B402A7" w:rsidRPr="00411137" w:rsidRDefault="00B402A7" w:rsidP="001B7BAC">
      <w:pPr>
        <w:spacing w:after="0" w:line="240" w:lineRule="auto"/>
        <w:jc w:val="both"/>
        <w:rPr>
          <w:sz w:val="20"/>
          <w:szCs w:val="20"/>
          <w:lang w:val="en-CA"/>
        </w:rPr>
      </w:pPr>
      <w:r w:rsidRPr="00411137">
        <w:rPr>
          <w:rStyle w:val="Odwoanieprzypisudolnego"/>
          <w:sz w:val="20"/>
          <w:szCs w:val="20"/>
        </w:rPr>
        <w:footnoteRef/>
      </w:r>
      <w:r w:rsidRPr="00411137">
        <w:rPr>
          <w:sz w:val="20"/>
          <w:szCs w:val="20"/>
          <w:lang w:val="en-CA"/>
        </w:rPr>
        <w:t xml:space="preserve"> See, e.g. </w:t>
      </w:r>
      <w:r>
        <w:rPr>
          <w:sz w:val="20"/>
          <w:szCs w:val="20"/>
          <w:lang w:val="en-CA"/>
        </w:rPr>
        <w:t>RvS November 9, 2009, No.</w:t>
      </w:r>
      <w:r w:rsidRPr="00411137">
        <w:rPr>
          <w:sz w:val="20"/>
          <w:szCs w:val="20"/>
          <w:lang w:val="en-CA"/>
        </w:rPr>
        <w:t>197.670, Ajaz; RvS February 19, 2</w:t>
      </w:r>
      <w:r>
        <w:rPr>
          <w:sz w:val="20"/>
          <w:szCs w:val="20"/>
          <w:lang w:val="en-CA"/>
        </w:rPr>
        <w:t>002, No.</w:t>
      </w:r>
      <w:r w:rsidRPr="00411137">
        <w:rPr>
          <w:sz w:val="20"/>
          <w:szCs w:val="20"/>
          <w:lang w:val="en-CA"/>
        </w:rPr>
        <w:t xml:space="preserve">103.730, Snellings </w:t>
      </w:r>
      <w:r w:rsidRPr="00411137">
        <w:rPr>
          <w:i/>
          <w:sz w:val="20"/>
          <w:szCs w:val="20"/>
          <w:lang w:val="en-CA"/>
        </w:rPr>
        <w:t>et al.</w:t>
      </w:r>
      <w:r w:rsidRPr="00411137">
        <w:rPr>
          <w:sz w:val="20"/>
          <w:szCs w:val="20"/>
          <w:lang w:val="en-CA"/>
        </w:rPr>
        <w:t xml:space="preserve">; </w:t>
      </w:r>
      <w:r>
        <w:rPr>
          <w:sz w:val="20"/>
          <w:szCs w:val="20"/>
          <w:lang w:val="en-CA"/>
        </w:rPr>
        <w:t>RvS October 24, 2000, No.</w:t>
      </w:r>
      <w:r w:rsidRPr="00411137">
        <w:rPr>
          <w:sz w:val="20"/>
          <w:szCs w:val="20"/>
          <w:lang w:val="en-CA"/>
        </w:rPr>
        <w:t>90.369, De Proft</w:t>
      </w:r>
      <w:r>
        <w:rPr>
          <w:sz w:val="20"/>
          <w:szCs w:val="20"/>
          <w:lang w:val="en-CA"/>
        </w:rPr>
        <w:t xml:space="preserve"> and</w:t>
      </w:r>
      <w:r w:rsidRPr="00411137">
        <w:rPr>
          <w:sz w:val="20"/>
          <w:szCs w:val="20"/>
          <w:lang w:val="en-CA"/>
        </w:rPr>
        <w:t xml:space="preserve"> RvS December</w:t>
      </w:r>
      <w:r>
        <w:rPr>
          <w:sz w:val="20"/>
          <w:szCs w:val="20"/>
          <w:lang w:val="en-CA"/>
        </w:rPr>
        <w:t xml:space="preserve"> 7, 1999, No.</w:t>
      </w:r>
      <w:r w:rsidRPr="00411137">
        <w:rPr>
          <w:sz w:val="20"/>
          <w:szCs w:val="20"/>
          <w:lang w:val="en-CA"/>
        </w:rPr>
        <w:t xml:space="preserve">83.940, </w:t>
      </w:r>
      <w:r>
        <w:rPr>
          <w:smallCaps/>
          <w:sz w:val="20"/>
          <w:szCs w:val="20"/>
          <w:lang w:val="en-CA"/>
        </w:rPr>
        <w:t>BVBA</w:t>
      </w:r>
      <w:r w:rsidRPr="00411137">
        <w:rPr>
          <w:sz w:val="20"/>
          <w:szCs w:val="20"/>
          <w:lang w:val="en-CA"/>
        </w:rPr>
        <w:t xml:space="preserve"> Ramses</w:t>
      </w:r>
      <w:r>
        <w:rPr>
          <w:sz w:val="20"/>
          <w:szCs w:val="20"/>
          <w:lang w:val="en-CA"/>
        </w:rPr>
        <w:t>.</w:t>
      </w:r>
    </w:p>
  </w:footnote>
  <w:footnote w:id="79">
    <w:p w14:paraId="4BB8F39E" w14:textId="2F00BC6C" w:rsidR="00B402A7" w:rsidRPr="00206390" w:rsidRDefault="00B402A7" w:rsidP="001B7BAC">
      <w:pPr>
        <w:pStyle w:val="Tekstprzypisudolnego"/>
        <w:jc w:val="both"/>
        <w:rPr>
          <w:lang w:val="en-CA"/>
        </w:rPr>
      </w:pPr>
      <w:r w:rsidRPr="00A6176A">
        <w:rPr>
          <w:rStyle w:val="Odwoanieprzypisudolnego"/>
        </w:rPr>
        <w:footnoteRef/>
      </w:r>
      <w:r w:rsidRPr="00AF2C13">
        <w:rPr>
          <w:lang w:val="en-CA"/>
        </w:rPr>
        <w:t xml:space="preserve"> </w:t>
      </w:r>
      <w:r>
        <w:rPr>
          <w:lang w:val="en-US"/>
        </w:rPr>
        <w:t>RvS July 29, 2014, No.</w:t>
      </w:r>
      <w:r w:rsidRPr="00632761">
        <w:rPr>
          <w:lang w:val="en-US"/>
        </w:rPr>
        <w:t xml:space="preserve">228.130, </w:t>
      </w:r>
      <w:r w:rsidRPr="00B224F3">
        <w:rPr>
          <w:smallCaps/>
          <w:lang w:val="en-US"/>
        </w:rPr>
        <w:t>BVBA</w:t>
      </w:r>
      <w:r w:rsidRPr="00B224F3">
        <w:rPr>
          <w:lang w:val="en-US"/>
        </w:rPr>
        <w:t xml:space="preserve"> </w:t>
      </w:r>
      <w:r>
        <w:rPr>
          <w:lang w:val="en-US"/>
        </w:rPr>
        <w:t xml:space="preserve">HS Trading para.12 </w:t>
      </w:r>
      <w:r>
        <w:rPr>
          <w:lang w:val="en-CA"/>
        </w:rPr>
        <w:t xml:space="preserve">and </w:t>
      </w:r>
      <w:r w:rsidRPr="00632761">
        <w:rPr>
          <w:lang w:val="en-US"/>
        </w:rPr>
        <w:t xml:space="preserve">RvS May 15, 2014, No.227.421, </w:t>
      </w:r>
      <w:r w:rsidRPr="00B224F3">
        <w:rPr>
          <w:smallCaps/>
          <w:lang w:val="en-US"/>
        </w:rPr>
        <w:t>BVBA</w:t>
      </w:r>
      <w:r w:rsidRPr="00B224F3">
        <w:rPr>
          <w:lang w:val="en-US"/>
        </w:rPr>
        <w:t xml:space="preserve"> </w:t>
      </w:r>
      <w:r>
        <w:rPr>
          <w:lang w:val="en-US"/>
        </w:rPr>
        <w:t>Buka para.15.</w:t>
      </w:r>
    </w:p>
  </w:footnote>
  <w:footnote w:id="80">
    <w:p w14:paraId="3352C5AF" w14:textId="77777777" w:rsidR="00B402A7" w:rsidRPr="005A2C60" w:rsidRDefault="00B402A7" w:rsidP="001B7BAC">
      <w:pPr>
        <w:pStyle w:val="Tekstprzypisudolnego"/>
        <w:jc w:val="both"/>
        <w:rPr>
          <w:lang w:val="es-ES"/>
        </w:rPr>
      </w:pPr>
      <w:r>
        <w:rPr>
          <w:rStyle w:val="Odwoanieprzypisudolnego"/>
        </w:rPr>
        <w:footnoteRef/>
      </w:r>
      <w:r w:rsidRPr="005A2C60">
        <w:rPr>
          <w:lang w:val="es-ES"/>
        </w:rPr>
        <w:t xml:space="preserve"> </w:t>
      </w:r>
      <w:r w:rsidRPr="005A2C60">
        <w:rPr>
          <w:i/>
          <w:lang w:val="es-ES"/>
        </w:rPr>
        <w:t>Supra</w:t>
      </w:r>
      <w:r w:rsidRPr="005A2C60">
        <w:rPr>
          <w:lang w:val="es-ES"/>
        </w:rPr>
        <w:t>.</w:t>
      </w:r>
    </w:p>
  </w:footnote>
  <w:footnote w:id="81">
    <w:p w14:paraId="09768985" w14:textId="356564F9" w:rsidR="00B402A7" w:rsidRPr="005A2C60" w:rsidRDefault="00B402A7" w:rsidP="001B7BAC">
      <w:pPr>
        <w:pStyle w:val="Tekstprzypisudolnego"/>
        <w:jc w:val="both"/>
        <w:rPr>
          <w:lang w:val="es-ES"/>
        </w:rPr>
      </w:pPr>
      <w:r w:rsidRPr="00402435">
        <w:rPr>
          <w:rStyle w:val="Odwoanieprzypisudolnego"/>
        </w:rPr>
        <w:footnoteRef/>
      </w:r>
      <w:r w:rsidRPr="005A2C60">
        <w:rPr>
          <w:lang w:val="es-ES"/>
        </w:rPr>
        <w:t xml:space="preserve"> RvS May 8, 2014, No.227.331, </w:t>
      </w:r>
      <w:r w:rsidRPr="005A2C60">
        <w:rPr>
          <w:smallCaps/>
          <w:lang w:val="es-ES"/>
        </w:rPr>
        <w:t>BVBA</w:t>
      </w:r>
      <w:r w:rsidRPr="005A2C60">
        <w:rPr>
          <w:lang w:val="es-ES"/>
        </w:rPr>
        <w:t xml:space="preserve"> Wedwinkel para.13.</w:t>
      </w:r>
    </w:p>
  </w:footnote>
  <w:footnote w:id="82">
    <w:p w14:paraId="2386569C" w14:textId="77777777" w:rsidR="00B402A7" w:rsidRPr="006E27CB" w:rsidRDefault="00B402A7" w:rsidP="001B7BAC">
      <w:pPr>
        <w:pStyle w:val="Tekstprzypisudolnego"/>
        <w:jc w:val="both"/>
        <w:rPr>
          <w:lang w:val="en-CA"/>
        </w:rPr>
      </w:pPr>
      <w:r w:rsidRPr="006E27CB">
        <w:rPr>
          <w:rStyle w:val="Odwoanieprzypisudolnego"/>
        </w:rPr>
        <w:footnoteRef/>
      </w:r>
      <w:r w:rsidRPr="006E27CB">
        <w:rPr>
          <w:lang w:val="en-CA"/>
        </w:rPr>
        <w:t xml:space="preserve"> </w:t>
      </w:r>
      <w:r w:rsidRPr="006E27CB">
        <w:rPr>
          <w:rFonts w:cs="Times New Roman"/>
          <w:lang w:val="en-CA"/>
        </w:rPr>
        <w:t>When applying a disciplinary sanction, the disciplinary authority must strike a fair balance between the facts and the disciplinary sanction applied</w:t>
      </w:r>
      <w:r w:rsidRPr="006E27CB">
        <w:rPr>
          <w:lang w:val="en-CA"/>
        </w:rPr>
        <w:t xml:space="preserve"> (see</w:t>
      </w:r>
      <w:r>
        <w:rPr>
          <w:lang w:val="en-CA"/>
        </w:rPr>
        <w:t>,</w:t>
      </w:r>
      <w:r w:rsidRPr="006E27CB">
        <w:rPr>
          <w:lang w:val="en-CA"/>
        </w:rPr>
        <w:t xml:space="preserve"> e.g. Ingrid Opdebeek and Ann Coolsaet, </w:t>
      </w:r>
      <w:r w:rsidRPr="006E27CB">
        <w:rPr>
          <w:i/>
          <w:lang w:val="en-CA"/>
        </w:rPr>
        <w:t>Algemene beginselen van ambtenarentuchtrecht</w:t>
      </w:r>
      <w:r w:rsidRPr="006E27CB">
        <w:rPr>
          <w:lang w:val="en-CA"/>
        </w:rPr>
        <w:t xml:space="preserve"> (die Keure, 2011), pp.86 and 214-234).</w:t>
      </w:r>
    </w:p>
  </w:footnote>
  <w:footnote w:id="83">
    <w:p w14:paraId="73B56759" w14:textId="77777777" w:rsidR="00B402A7" w:rsidRPr="00A02D5C" w:rsidRDefault="00B402A7" w:rsidP="001B7BAC">
      <w:pPr>
        <w:pStyle w:val="Tekstprzypisudolnego"/>
        <w:jc w:val="both"/>
        <w:rPr>
          <w:lang w:val="en-CA"/>
        </w:rPr>
      </w:pPr>
      <w:r>
        <w:rPr>
          <w:rStyle w:val="Odwoanieprzypisudolnego"/>
        </w:rPr>
        <w:footnoteRef/>
      </w:r>
      <w:r w:rsidRPr="00A02D5C">
        <w:rPr>
          <w:lang w:val="es-ES"/>
        </w:rPr>
        <w:t xml:space="preserve"> Viviane Vannes, </w:t>
      </w:r>
      <w:r>
        <w:rPr>
          <w:lang w:val="es-ES"/>
        </w:rPr>
        <w:t>“</w:t>
      </w:r>
      <w:r w:rsidRPr="00A02D5C">
        <w:rPr>
          <w:lang w:val="fr-FR"/>
        </w:rPr>
        <w:t>Titre III - L’émergence de la proportionnalité dans le droit actuel</w:t>
      </w:r>
      <w:r>
        <w:rPr>
          <w:lang w:val="es-ES"/>
        </w:rPr>
        <w:t>”</w:t>
      </w:r>
      <w:r w:rsidRPr="00A02D5C">
        <w:rPr>
          <w:lang w:val="fr-FR"/>
        </w:rPr>
        <w:t xml:space="preserve"> in Viviane Vannes (ed)</w:t>
      </w:r>
      <w:r>
        <w:rPr>
          <w:lang w:val="fr-FR"/>
        </w:rPr>
        <w:t>,</w:t>
      </w:r>
      <w:r w:rsidRPr="00A02D5C">
        <w:rPr>
          <w:lang w:val="fr-FR"/>
        </w:rPr>
        <w:t xml:space="preserve"> </w:t>
      </w:r>
      <w:r w:rsidRPr="00A02D5C">
        <w:rPr>
          <w:i/>
          <w:lang w:val="fr-FR"/>
        </w:rPr>
        <w:t>Le droit de grève</w:t>
      </w:r>
      <w:r w:rsidRPr="00A02D5C">
        <w:rPr>
          <w:b/>
          <w:bCs/>
          <w:i/>
          <w:lang w:val="fr-FR"/>
        </w:rPr>
        <w:t xml:space="preserve">. </w:t>
      </w:r>
      <w:r w:rsidRPr="00A02D5C">
        <w:rPr>
          <w:i/>
          <w:lang w:val="fr-FR"/>
        </w:rPr>
        <w:t xml:space="preserve">Concilier le droit de grève et les autres droits fondamentaux : recours au principe de proportionnalité? </w:t>
      </w:r>
      <w:r w:rsidRPr="007D0291">
        <w:rPr>
          <w:lang w:val="en-US"/>
        </w:rPr>
        <w:t>(Larcier, 2014), pp.</w:t>
      </w:r>
      <w:r w:rsidRPr="00A02D5C">
        <w:rPr>
          <w:lang w:val="en-CA"/>
        </w:rPr>
        <w:t>57-60.</w:t>
      </w:r>
    </w:p>
  </w:footnote>
  <w:footnote w:id="84">
    <w:p w14:paraId="6F91C312" w14:textId="635A769B" w:rsidR="00B402A7" w:rsidRPr="00CC56F9" w:rsidRDefault="00B402A7" w:rsidP="001B7BAC">
      <w:pPr>
        <w:pStyle w:val="Tekstprzypisudolnego"/>
        <w:jc w:val="both"/>
        <w:rPr>
          <w:i/>
          <w:lang w:val="en-CA"/>
        </w:rPr>
      </w:pPr>
      <w:r>
        <w:rPr>
          <w:rStyle w:val="Odwoanieprzypisudolnego"/>
        </w:rPr>
        <w:footnoteRef/>
      </w:r>
      <w:r w:rsidRPr="00CC56F9">
        <w:rPr>
          <w:lang w:val="en-CA"/>
        </w:rPr>
        <w:t xml:space="preserve"> </w:t>
      </w:r>
      <w:r>
        <w:rPr>
          <w:lang w:val="en-CA"/>
        </w:rPr>
        <w:t xml:space="preserve">See </w:t>
      </w:r>
      <w:r>
        <w:rPr>
          <w:i/>
          <w:lang w:val="en-CA"/>
        </w:rPr>
        <w:t>supra.</w:t>
      </w:r>
    </w:p>
  </w:footnote>
  <w:footnote w:id="85">
    <w:p w14:paraId="5912E15E" w14:textId="77777777" w:rsidR="00B402A7" w:rsidRPr="00484F63" w:rsidRDefault="00B402A7" w:rsidP="001B7BAC">
      <w:pPr>
        <w:pStyle w:val="Tekstprzypisudolnego"/>
        <w:jc w:val="both"/>
        <w:rPr>
          <w:lang w:val="en-US"/>
        </w:rPr>
      </w:pPr>
      <w:r w:rsidRPr="00484F63">
        <w:rPr>
          <w:rStyle w:val="Odwoanieprzypisudolnego"/>
        </w:rPr>
        <w:footnoteRef/>
      </w:r>
      <w:r w:rsidRPr="00484F63">
        <w:rPr>
          <w:lang w:val="en-US"/>
        </w:rPr>
        <w:t xml:space="preserve"> </w:t>
      </w:r>
      <w:r w:rsidRPr="00484F63">
        <w:rPr>
          <w:rFonts w:cs="Arial"/>
          <w:shd w:val="clear" w:color="auto" w:fill="FFFFFF"/>
          <w:lang w:val="en-US"/>
        </w:rPr>
        <w:t xml:space="preserve">Colm O’Cinneide, “Human Rights and the UK Constitution” in Jeffrey Jowell, Dawn Oliver, and Colm O’Cinneide, </w:t>
      </w:r>
      <w:r w:rsidRPr="00484F63">
        <w:rPr>
          <w:rFonts w:cs="Arial"/>
          <w:i/>
          <w:shd w:val="clear" w:color="auto" w:fill="FFFFFF"/>
          <w:lang w:val="en-US"/>
        </w:rPr>
        <w:t>The Changing Constitution</w:t>
      </w:r>
      <w:r w:rsidRPr="00484F63">
        <w:rPr>
          <w:rFonts w:cs="Arial"/>
          <w:shd w:val="clear" w:color="auto" w:fill="FFFFFF"/>
          <w:lang w:val="en-US"/>
        </w:rPr>
        <w:t xml:space="preserve"> (8th edn, OUP, 2015), p.94.</w:t>
      </w:r>
    </w:p>
  </w:footnote>
  <w:footnote w:id="86">
    <w:p w14:paraId="3DB1686C" w14:textId="6F5B7272" w:rsidR="00B402A7" w:rsidRPr="005C729C" w:rsidRDefault="00B402A7" w:rsidP="001B7BAC">
      <w:pPr>
        <w:pStyle w:val="Tekstprzypisudolnego"/>
        <w:jc w:val="both"/>
        <w:rPr>
          <w:lang w:val="en-CA"/>
        </w:rPr>
      </w:pPr>
      <w:r>
        <w:rPr>
          <w:rStyle w:val="Odwoanieprzypisudolnego"/>
        </w:rPr>
        <w:footnoteRef/>
      </w:r>
      <w:r w:rsidRPr="005C729C">
        <w:rPr>
          <w:lang w:val="en-CA"/>
        </w:rPr>
        <w:t xml:space="preserve"> </w:t>
      </w:r>
      <w:r w:rsidRPr="00484F63">
        <w:rPr>
          <w:rFonts w:cs="Arial"/>
          <w:color w:val="000000"/>
          <w:shd w:val="clear" w:color="auto" w:fill="FFFFFF"/>
          <w:lang w:val="en-CA"/>
        </w:rPr>
        <w:t xml:space="preserve">S.35(3) </w:t>
      </w:r>
      <w:r>
        <w:rPr>
          <w:rFonts w:cs="Arial"/>
          <w:color w:val="000000"/>
          <w:shd w:val="clear" w:color="auto" w:fill="FFFFFF"/>
          <w:lang w:val="en-CA"/>
        </w:rPr>
        <w:t>ACPA</w:t>
      </w:r>
      <w:r w:rsidRPr="005C729C">
        <w:rPr>
          <w:rFonts w:cs="Times New Roman"/>
          <w:lang w:val="en-US"/>
        </w:rPr>
        <w:t>.</w:t>
      </w:r>
    </w:p>
  </w:footnote>
  <w:footnote w:id="87">
    <w:p w14:paraId="155C2A7A" w14:textId="5EF7AC5C" w:rsidR="00B402A7" w:rsidRPr="00330F46" w:rsidRDefault="00B402A7" w:rsidP="001B7BAC">
      <w:pPr>
        <w:pStyle w:val="Tekstprzypisudolnego"/>
        <w:jc w:val="both"/>
        <w:rPr>
          <w:lang w:val="en-CA"/>
        </w:rPr>
      </w:pPr>
      <w:r w:rsidRPr="00E82A70">
        <w:rPr>
          <w:rStyle w:val="Odwoanieprzypisudolnego"/>
        </w:rPr>
        <w:footnoteRef/>
      </w:r>
      <w:r w:rsidRPr="00E82A70">
        <w:rPr>
          <w:lang w:val="en-CA"/>
        </w:rPr>
        <w:t xml:space="preserve"> </w:t>
      </w:r>
      <w:r w:rsidRPr="00E82A70">
        <w:rPr>
          <w:i/>
          <w:lang w:val="en-CA"/>
        </w:rPr>
        <w:t>De Freitas v Permanent Secretary of Ministry of Agriculture</w:t>
      </w:r>
      <w:r>
        <w:rPr>
          <w:lang w:val="en-CA"/>
        </w:rPr>
        <w:t xml:space="preserve"> [1999] 1 A.C. 69.</w:t>
      </w:r>
    </w:p>
  </w:footnote>
  <w:footnote w:id="88">
    <w:p w14:paraId="42DCB693" w14:textId="21EED3C8" w:rsidR="00B402A7" w:rsidRPr="00385BD7" w:rsidRDefault="00B402A7" w:rsidP="001B7BAC">
      <w:pPr>
        <w:pStyle w:val="Tekstprzypisudolnego"/>
        <w:jc w:val="both"/>
        <w:rPr>
          <w:lang w:val="en-CA"/>
        </w:rPr>
      </w:pPr>
      <w:r>
        <w:rPr>
          <w:rStyle w:val="Odwoanieprzypisudolnego"/>
        </w:rPr>
        <w:footnoteRef/>
      </w:r>
      <w:r w:rsidRPr="00385BD7">
        <w:rPr>
          <w:lang w:val="en-CA"/>
        </w:rPr>
        <w:t xml:space="preserve"> </w:t>
      </w:r>
      <w:r w:rsidRPr="00F04DFB">
        <w:rPr>
          <w:i/>
          <w:color w:val="000000"/>
          <w:lang w:val="en-CA"/>
        </w:rPr>
        <w:t>Gough and Smith v Chief Constable of Derbyshire</w:t>
      </w:r>
      <w:r w:rsidRPr="00F04DFB">
        <w:rPr>
          <w:color w:val="000000"/>
          <w:lang w:val="en-CA"/>
        </w:rPr>
        <w:t xml:space="preserve"> [2002] Q</w:t>
      </w:r>
      <w:r>
        <w:rPr>
          <w:color w:val="000000"/>
          <w:lang w:val="en-CA"/>
        </w:rPr>
        <w:t>.</w:t>
      </w:r>
      <w:r w:rsidRPr="00F04DFB">
        <w:rPr>
          <w:color w:val="000000"/>
          <w:lang w:val="en-CA"/>
        </w:rPr>
        <w:t>B</w:t>
      </w:r>
      <w:r>
        <w:rPr>
          <w:color w:val="000000"/>
          <w:lang w:val="en-CA"/>
        </w:rPr>
        <w:t xml:space="preserve">. 1213 para.63. See also </w:t>
      </w:r>
      <w:r w:rsidRPr="0020592C">
        <w:rPr>
          <w:i/>
          <w:lang w:val="en-US"/>
        </w:rPr>
        <w:t xml:space="preserve">Hickman, “The substance </w:t>
      </w:r>
      <w:r w:rsidRPr="00B16447">
        <w:rPr>
          <w:i/>
          <w:lang w:val="en-US"/>
        </w:rPr>
        <w:t>and structure of proportionality</w:t>
      </w:r>
      <w:r w:rsidRPr="00B16447">
        <w:rPr>
          <w:rFonts w:cs="Times New Roman"/>
          <w:lang w:val="en-CA"/>
        </w:rPr>
        <w:t>”</w:t>
      </w:r>
      <w:r>
        <w:rPr>
          <w:rFonts w:cs="Times New Roman"/>
          <w:lang w:val="en-US"/>
        </w:rPr>
        <w:t>, fn.3</w:t>
      </w:r>
      <w:r w:rsidR="00765E2B">
        <w:rPr>
          <w:rFonts w:cs="Times New Roman"/>
          <w:lang w:val="en-US"/>
        </w:rPr>
        <w:t>1</w:t>
      </w:r>
      <w:r w:rsidRPr="00B16447">
        <w:rPr>
          <w:rFonts w:cs="Times New Roman"/>
          <w:lang w:val="en-US"/>
        </w:rPr>
        <w:t xml:space="preserve"> above, p.701.</w:t>
      </w:r>
    </w:p>
  </w:footnote>
  <w:footnote w:id="89">
    <w:p w14:paraId="44517603" w14:textId="63E2F3AA" w:rsidR="00B402A7" w:rsidRPr="007578F7" w:rsidRDefault="00B402A7" w:rsidP="001B7BAC">
      <w:pPr>
        <w:autoSpaceDE w:val="0"/>
        <w:autoSpaceDN w:val="0"/>
        <w:adjustRightInd w:val="0"/>
        <w:spacing w:after="0" w:line="240" w:lineRule="auto"/>
        <w:jc w:val="both"/>
        <w:rPr>
          <w:sz w:val="20"/>
          <w:szCs w:val="20"/>
          <w:lang w:val="en-CA"/>
        </w:rPr>
      </w:pPr>
      <w:r w:rsidRPr="007578F7">
        <w:rPr>
          <w:rStyle w:val="Odwoanieprzypisudolnego"/>
          <w:sz w:val="20"/>
          <w:szCs w:val="20"/>
        </w:rPr>
        <w:footnoteRef/>
      </w:r>
      <w:r w:rsidRPr="007578F7">
        <w:rPr>
          <w:sz w:val="20"/>
          <w:szCs w:val="20"/>
          <w:lang w:val="en-CA"/>
        </w:rPr>
        <w:t xml:space="preserve"> See, e.g. </w:t>
      </w:r>
      <w:r w:rsidRPr="007578F7">
        <w:rPr>
          <w:i/>
          <w:sz w:val="20"/>
          <w:szCs w:val="20"/>
          <w:lang w:val="en-CA"/>
        </w:rPr>
        <w:t>Samaroo v Secretary of State for the Home Department</w:t>
      </w:r>
      <w:r w:rsidRPr="007578F7">
        <w:rPr>
          <w:sz w:val="20"/>
          <w:szCs w:val="20"/>
          <w:lang w:val="en-CA"/>
        </w:rPr>
        <w:t xml:space="preserve"> [2001] EWCA Civ 1139, para.20. See also </w:t>
      </w:r>
      <w:r w:rsidRPr="007578F7">
        <w:rPr>
          <w:i/>
          <w:sz w:val="20"/>
          <w:szCs w:val="20"/>
          <w:lang w:val="en-US"/>
        </w:rPr>
        <w:t>Hickman, “The substance and structure of proportionality</w:t>
      </w:r>
      <w:r w:rsidRPr="007578F7">
        <w:rPr>
          <w:rFonts w:cs="Times New Roman"/>
          <w:sz w:val="20"/>
          <w:szCs w:val="20"/>
          <w:lang w:val="en-CA"/>
        </w:rPr>
        <w:t>”</w:t>
      </w:r>
      <w:r w:rsidRPr="007578F7">
        <w:rPr>
          <w:rFonts w:cs="Times New Roman"/>
          <w:sz w:val="20"/>
          <w:szCs w:val="20"/>
          <w:lang w:val="en-US"/>
        </w:rPr>
        <w:t>, fn.3</w:t>
      </w:r>
      <w:r w:rsidR="00765E2B">
        <w:rPr>
          <w:rFonts w:cs="Times New Roman"/>
          <w:sz w:val="20"/>
          <w:szCs w:val="20"/>
          <w:lang w:val="en-US"/>
        </w:rPr>
        <w:t>1</w:t>
      </w:r>
      <w:r w:rsidRPr="007578F7">
        <w:rPr>
          <w:rFonts w:cs="Times New Roman"/>
          <w:sz w:val="20"/>
          <w:szCs w:val="20"/>
          <w:lang w:val="en-US"/>
        </w:rPr>
        <w:t xml:space="preserve"> above, p.701 and </w:t>
      </w:r>
      <w:r w:rsidRPr="007578F7">
        <w:rPr>
          <w:rFonts w:cs="TimesNewRomanPSMT"/>
          <w:sz w:val="20"/>
          <w:szCs w:val="20"/>
          <w:lang w:val="en-CA"/>
        </w:rPr>
        <w:t xml:space="preserve">Geoff Pearson, “Qualifying for Europe? </w:t>
      </w:r>
      <w:r w:rsidRPr="007578F7">
        <w:rPr>
          <w:rFonts w:cs="TimesNewRomanPSMT"/>
          <w:sz w:val="20"/>
          <w:szCs w:val="20"/>
          <w:lang w:val="en-US"/>
        </w:rPr>
        <w:t xml:space="preserve">The legitimacy of Football Banning Orders ‘on Complaint’ under the principle of proportionality” (2005) 3 </w:t>
      </w:r>
      <w:r w:rsidRPr="007578F7">
        <w:rPr>
          <w:rFonts w:cs="TimesNewRomanPS-ItalicMT"/>
          <w:iCs/>
          <w:sz w:val="20"/>
          <w:szCs w:val="20"/>
          <w:lang w:val="en-US"/>
        </w:rPr>
        <w:t>ESLJ</w:t>
      </w:r>
      <w:r w:rsidRPr="007578F7">
        <w:rPr>
          <w:rFonts w:cs="TimesNewRomanPSMT"/>
          <w:sz w:val="20"/>
          <w:szCs w:val="20"/>
          <w:lang w:val="en-US"/>
        </w:rPr>
        <w:t xml:space="preserve"> 1</w:t>
      </w:r>
      <w:r>
        <w:rPr>
          <w:rFonts w:cs="TimesNewRomanPSMT"/>
          <w:sz w:val="20"/>
          <w:szCs w:val="20"/>
          <w:lang w:val="en-US"/>
        </w:rPr>
        <w:t>, 4</w:t>
      </w:r>
      <w:r w:rsidRPr="007578F7">
        <w:rPr>
          <w:rFonts w:cs="Times New Roman"/>
          <w:sz w:val="20"/>
          <w:szCs w:val="20"/>
          <w:lang w:val="en-US"/>
        </w:rPr>
        <w:t>. Note, however, that imposing the least intrusive measure is not always required in the Strasbourg Court’</w:t>
      </w:r>
      <w:r>
        <w:rPr>
          <w:rFonts w:cs="Times New Roman"/>
          <w:sz w:val="20"/>
          <w:szCs w:val="20"/>
          <w:lang w:val="en-US"/>
        </w:rPr>
        <w:t>s case law, as mentioned above.</w:t>
      </w:r>
    </w:p>
  </w:footnote>
  <w:footnote w:id="90">
    <w:p w14:paraId="073FF042" w14:textId="172A5777" w:rsidR="00B402A7" w:rsidRPr="00330F46" w:rsidRDefault="00B402A7" w:rsidP="001B7BAC">
      <w:pPr>
        <w:pStyle w:val="Tekstprzypisudolnego"/>
        <w:jc w:val="both"/>
        <w:rPr>
          <w:lang w:val="en-CA"/>
        </w:rPr>
      </w:pPr>
      <w:r>
        <w:rPr>
          <w:rStyle w:val="Odwoanieprzypisudolnego"/>
        </w:rPr>
        <w:footnoteRef/>
      </w:r>
      <w:r w:rsidRPr="00330F46">
        <w:rPr>
          <w:lang w:val="en-CA"/>
        </w:rPr>
        <w:t xml:space="preserve"> </w:t>
      </w:r>
      <w:r w:rsidRPr="00187F57">
        <w:rPr>
          <w:rFonts w:cs="Arial"/>
          <w:i/>
          <w:iCs/>
          <w:lang w:val="en-US"/>
        </w:rPr>
        <w:t xml:space="preserve">Huang v Secretary of State for the Home Department </w:t>
      </w:r>
      <w:r w:rsidRPr="00187F57">
        <w:rPr>
          <w:rFonts w:cs="Arial"/>
          <w:lang w:val="en-US"/>
        </w:rPr>
        <w:t>[2007] UKHL 11; [2007]</w:t>
      </w:r>
      <w:r>
        <w:rPr>
          <w:rFonts w:cs="Arial"/>
          <w:lang w:val="en-US"/>
        </w:rPr>
        <w:t xml:space="preserve"> 2 A.C. 167, para.19 (joint opinion).</w:t>
      </w:r>
    </w:p>
  </w:footnote>
  <w:footnote w:id="91">
    <w:p w14:paraId="11BA21A6" w14:textId="717B4F18" w:rsidR="00B402A7" w:rsidRPr="00EA6DA0" w:rsidRDefault="00B402A7" w:rsidP="001B7BAC">
      <w:pPr>
        <w:pStyle w:val="Tekstprzypisudolnego"/>
        <w:jc w:val="both"/>
        <w:rPr>
          <w:lang w:val="en-CA"/>
        </w:rPr>
      </w:pPr>
      <w:r w:rsidRPr="009C57FC">
        <w:rPr>
          <w:rStyle w:val="Odwoanieprzypisudolnego"/>
        </w:rPr>
        <w:footnoteRef/>
      </w:r>
      <w:r w:rsidRPr="009C57FC">
        <w:rPr>
          <w:lang w:val="en-CA"/>
        </w:rPr>
        <w:t xml:space="preserve"> </w:t>
      </w:r>
      <w:r w:rsidRPr="009C57FC">
        <w:rPr>
          <w:i/>
          <w:lang w:val="en-CA"/>
        </w:rPr>
        <w:t>Daly v Secretary of State for the Home Department</w:t>
      </w:r>
      <w:r w:rsidRPr="009C57FC">
        <w:rPr>
          <w:lang w:val="en-CA"/>
        </w:rPr>
        <w:t xml:space="preserve"> [2001] UKHL 26; [2001] 2 A.C. 532, para.27 (Lord Steyn); </w:t>
      </w:r>
      <w:r w:rsidRPr="009C57FC">
        <w:rPr>
          <w:i/>
          <w:lang w:val="en-CA"/>
        </w:rPr>
        <w:t>R v Shayler</w:t>
      </w:r>
      <w:r w:rsidRPr="009C57FC">
        <w:rPr>
          <w:lang w:val="en-CA"/>
        </w:rPr>
        <w:t xml:space="preserve"> [2002] UKHL 11</w:t>
      </w:r>
      <w:r>
        <w:rPr>
          <w:lang w:val="en-CA"/>
        </w:rPr>
        <w:t>;</w:t>
      </w:r>
      <w:r w:rsidRPr="009C57FC">
        <w:rPr>
          <w:lang w:val="en-CA"/>
        </w:rPr>
        <w:t xml:space="preserve"> [2003] 1 A.C. 247, para.61 (Lord Hope of Craighead);</w:t>
      </w:r>
      <w:r w:rsidRPr="009C57FC">
        <w:rPr>
          <w:i/>
          <w:lang w:val="en-CA"/>
        </w:rPr>
        <w:t xml:space="preserve"> A &amp; Ors v Secretary of State for the Home Department</w:t>
      </w:r>
      <w:r w:rsidRPr="009C57FC">
        <w:rPr>
          <w:lang w:val="en-CA"/>
        </w:rPr>
        <w:t xml:space="preserve"> [2004] UKHL 56</w:t>
      </w:r>
      <w:r>
        <w:rPr>
          <w:lang w:val="en-CA"/>
        </w:rPr>
        <w:t>;</w:t>
      </w:r>
      <w:r w:rsidRPr="009C57FC">
        <w:rPr>
          <w:lang w:val="en-CA"/>
        </w:rPr>
        <w:t xml:space="preserve"> [2005] 2 A.C. 68</w:t>
      </w:r>
      <w:r>
        <w:rPr>
          <w:lang w:val="en-CA"/>
        </w:rPr>
        <w:t>, para.</w:t>
      </w:r>
      <w:r w:rsidRPr="009C57FC">
        <w:rPr>
          <w:lang w:val="en-CA"/>
        </w:rPr>
        <w:t>30 (Lord Bingham of Cornhill).</w:t>
      </w:r>
    </w:p>
  </w:footnote>
  <w:footnote w:id="92">
    <w:p w14:paraId="04BB7708" w14:textId="74CAD9C5" w:rsidR="00B402A7" w:rsidRPr="00EA6DA0" w:rsidRDefault="00B402A7" w:rsidP="001B7BAC">
      <w:pPr>
        <w:spacing w:after="0" w:line="240" w:lineRule="auto"/>
        <w:jc w:val="both"/>
        <w:rPr>
          <w:sz w:val="20"/>
          <w:szCs w:val="20"/>
          <w:lang w:val="en-CA"/>
        </w:rPr>
      </w:pPr>
      <w:r w:rsidRPr="00124211">
        <w:rPr>
          <w:rStyle w:val="Odwoanieprzypisudolnego"/>
          <w:sz w:val="20"/>
          <w:szCs w:val="20"/>
        </w:rPr>
        <w:footnoteRef/>
      </w:r>
      <w:r w:rsidRPr="00124211">
        <w:rPr>
          <w:sz w:val="20"/>
          <w:szCs w:val="20"/>
          <w:lang w:val="en-US"/>
        </w:rPr>
        <w:t xml:space="preserve"> </w:t>
      </w:r>
      <w:r w:rsidRPr="00124211">
        <w:rPr>
          <w:i/>
          <w:sz w:val="20"/>
          <w:szCs w:val="20"/>
          <w:lang w:val="en-US"/>
        </w:rPr>
        <w:t>Hickman, “The substance and structure of proportionality”,</w:t>
      </w:r>
      <w:r>
        <w:rPr>
          <w:sz w:val="20"/>
          <w:szCs w:val="20"/>
          <w:lang w:val="en-US"/>
        </w:rPr>
        <w:t xml:space="preserve"> fn.3</w:t>
      </w:r>
      <w:r w:rsidR="00765E2B">
        <w:rPr>
          <w:sz w:val="20"/>
          <w:szCs w:val="20"/>
          <w:lang w:val="en-US"/>
        </w:rPr>
        <w:t>1</w:t>
      </w:r>
      <w:r w:rsidRPr="00124211">
        <w:rPr>
          <w:sz w:val="20"/>
          <w:szCs w:val="20"/>
          <w:lang w:val="en-US"/>
        </w:rPr>
        <w:t xml:space="preserve"> above</w:t>
      </w:r>
      <w:r>
        <w:rPr>
          <w:sz w:val="20"/>
          <w:szCs w:val="20"/>
          <w:lang w:val="en-US"/>
        </w:rPr>
        <w:t>, p.701</w:t>
      </w:r>
      <w:r>
        <w:rPr>
          <w:sz w:val="20"/>
          <w:szCs w:val="20"/>
          <w:lang w:val="en-CA"/>
        </w:rPr>
        <w:t>.</w:t>
      </w:r>
    </w:p>
  </w:footnote>
  <w:footnote w:id="93">
    <w:p w14:paraId="304A5F34" w14:textId="25472FBA" w:rsidR="00B402A7" w:rsidRPr="00124211" w:rsidRDefault="00B402A7" w:rsidP="001B7BAC">
      <w:pPr>
        <w:pStyle w:val="Tekstprzypisudolnego"/>
        <w:jc w:val="both"/>
        <w:rPr>
          <w:lang w:val="en-CA"/>
        </w:rPr>
      </w:pPr>
      <w:r>
        <w:rPr>
          <w:rStyle w:val="Odwoanieprzypisudolnego"/>
        </w:rPr>
        <w:footnoteRef/>
      </w:r>
      <w:r w:rsidRPr="00124211">
        <w:rPr>
          <w:lang w:val="en-CA"/>
        </w:rPr>
        <w:t xml:space="preserve"> </w:t>
      </w:r>
      <w:r w:rsidRPr="00187F57">
        <w:rPr>
          <w:rFonts w:cs="Arial"/>
          <w:i/>
          <w:iCs/>
          <w:lang w:val="en-US"/>
        </w:rPr>
        <w:t xml:space="preserve">Huang v Secretary of State for the Home Department </w:t>
      </w:r>
      <w:r w:rsidRPr="00187F57">
        <w:rPr>
          <w:rFonts w:cs="Arial"/>
          <w:lang w:val="en-US"/>
        </w:rPr>
        <w:t>[2007] UKHL 11; [2007]</w:t>
      </w:r>
      <w:r>
        <w:rPr>
          <w:rFonts w:cs="Arial"/>
          <w:lang w:val="en-US"/>
        </w:rPr>
        <w:t xml:space="preserve"> 2 A.C. 167. See also </w:t>
      </w:r>
      <w:r w:rsidRPr="00187F57">
        <w:rPr>
          <w:i/>
          <w:lang w:val="en-US"/>
        </w:rPr>
        <w:t>Hickman, “The substance and structure of proportionality</w:t>
      </w:r>
      <w:r>
        <w:rPr>
          <w:rFonts w:cs="Times New Roman"/>
          <w:lang w:val="en-CA"/>
        </w:rPr>
        <w:t>”, fn.3</w:t>
      </w:r>
      <w:r w:rsidR="00765E2B">
        <w:rPr>
          <w:rFonts w:cs="Times New Roman"/>
          <w:lang w:val="en-CA"/>
        </w:rPr>
        <w:t>1</w:t>
      </w:r>
      <w:r w:rsidRPr="00187F57">
        <w:rPr>
          <w:rFonts w:cs="Times New Roman"/>
          <w:lang w:val="en-CA"/>
        </w:rPr>
        <w:t xml:space="preserve"> above, p.713</w:t>
      </w:r>
      <w:r>
        <w:rPr>
          <w:rFonts w:cs="Times New Roman"/>
          <w:lang w:val="en-CA"/>
        </w:rPr>
        <w:t>.</w:t>
      </w:r>
    </w:p>
  </w:footnote>
  <w:footnote w:id="94">
    <w:p w14:paraId="21BFB559" w14:textId="65BE634B" w:rsidR="00B402A7" w:rsidRPr="00EA6DA0" w:rsidRDefault="00B402A7" w:rsidP="001B7BAC">
      <w:pPr>
        <w:pStyle w:val="Tekstprzypisudolnego"/>
        <w:jc w:val="both"/>
        <w:rPr>
          <w:lang w:val="en-CA"/>
        </w:rPr>
      </w:pPr>
      <w:r>
        <w:rPr>
          <w:rStyle w:val="Odwoanieprzypisudolnego"/>
        </w:rPr>
        <w:footnoteRef/>
      </w:r>
      <w:r w:rsidRPr="00EA6DA0">
        <w:rPr>
          <w:lang w:val="en-CA"/>
        </w:rPr>
        <w:t xml:space="preserve"> </w:t>
      </w:r>
      <w:r w:rsidRPr="00124211">
        <w:rPr>
          <w:lang w:val="en-CA"/>
        </w:rPr>
        <w:t xml:space="preserve">See, e.g. </w:t>
      </w:r>
      <w:r w:rsidRPr="00124211">
        <w:rPr>
          <w:i/>
          <w:lang w:val="en-CA"/>
        </w:rPr>
        <w:t xml:space="preserve">Nicklinson </w:t>
      </w:r>
      <w:r w:rsidRPr="00124211">
        <w:rPr>
          <w:lang w:val="en-CA"/>
        </w:rPr>
        <w:t>[2014] UKSC 38; [2015] A.C. 657 para.</w:t>
      </w:r>
      <w:r w:rsidRPr="00124211">
        <w:rPr>
          <w:lang w:val="en-US"/>
        </w:rPr>
        <w:t>80;</w:t>
      </w:r>
      <w:r w:rsidRPr="00124211">
        <w:rPr>
          <w:lang w:val="en-CA"/>
        </w:rPr>
        <w:t xml:space="preserve"> </w:t>
      </w:r>
      <w:bookmarkStart w:id="14" w:name="para80"/>
      <w:r w:rsidRPr="00124211">
        <w:rPr>
          <w:i/>
          <w:iCs/>
          <w:color w:val="000000"/>
          <w:lang w:val="en-CA"/>
        </w:rPr>
        <w:t xml:space="preserve">Bank Mellat v HM Treasury </w:t>
      </w:r>
      <w:r w:rsidRPr="00124211">
        <w:rPr>
          <w:iCs/>
          <w:color w:val="000000"/>
          <w:lang w:val="en-CA"/>
        </w:rPr>
        <w:t xml:space="preserve">[2013] UKSC 39; [2013] H.R.L.R. 30 </w:t>
      </w:r>
      <w:r w:rsidRPr="00124211">
        <w:rPr>
          <w:color w:val="000000"/>
          <w:lang w:val="en-CA"/>
        </w:rPr>
        <w:t>para.20</w:t>
      </w:r>
      <w:r w:rsidRPr="00124211">
        <w:rPr>
          <w:i/>
          <w:iCs/>
          <w:color w:val="000000"/>
          <w:lang w:val="en-CA"/>
        </w:rPr>
        <w:t xml:space="preserve"> </w:t>
      </w:r>
      <w:r w:rsidRPr="00124211">
        <w:rPr>
          <w:iCs/>
          <w:color w:val="000000"/>
          <w:lang w:val="en-CA"/>
        </w:rPr>
        <w:t>and</w:t>
      </w:r>
      <w:r w:rsidRPr="00124211">
        <w:rPr>
          <w:i/>
          <w:iCs/>
          <w:color w:val="000000"/>
          <w:lang w:val="en-CA"/>
        </w:rPr>
        <w:t xml:space="preserve"> R (Aguilar Quila) v The Secretary of State for the Home Department </w:t>
      </w:r>
      <w:r w:rsidRPr="00124211">
        <w:rPr>
          <w:iCs/>
          <w:color w:val="000000"/>
          <w:lang w:val="en-CA"/>
        </w:rPr>
        <w:t xml:space="preserve">[2012] 1 A.C. </w:t>
      </w:r>
      <w:r w:rsidRPr="00B16447">
        <w:rPr>
          <w:iCs/>
          <w:color w:val="000000"/>
          <w:lang w:val="en-CA"/>
        </w:rPr>
        <w:t>621</w:t>
      </w:r>
      <w:bookmarkEnd w:id="14"/>
      <w:r w:rsidRPr="00B16447">
        <w:rPr>
          <w:iCs/>
          <w:color w:val="000000"/>
          <w:lang w:val="en-CA"/>
        </w:rPr>
        <w:t xml:space="preserve"> </w:t>
      </w:r>
      <w:r w:rsidRPr="00B16447">
        <w:rPr>
          <w:color w:val="000000"/>
          <w:lang w:val="en-CA"/>
        </w:rPr>
        <w:t>para.45. See also</w:t>
      </w:r>
      <w:r w:rsidRPr="00B16447">
        <w:rPr>
          <w:lang w:val="en-US"/>
        </w:rPr>
        <w:t xml:space="preserve">, e.g. </w:t>
      </w:r>
      <w:r w:rsidRPr="00B16447">
        <w:rPr>
          <w:i/>
          <w:lang w:val="en-US"/>
        </w:rPr>
        <w:t>Hickman, “The substance and structure of proportionality”,</w:t>
      </w:r>
      <w:r w:rsidRPr="00B16447">
        <w:rPr>
          <w:lang w:val="en-US"/>
        </w:rPr>
        <w:t xml:space="preserve"> fn.3</w:t>
      </w:r>
      <w:r w:rsidR="00765E2B">
        <w:rPr>
          <w:lang w:val="en-US"/>
        </w:rPr>
        <w:t>1</w:t>
      </w:r>
      <w:r w:rsidRPr="00B16447">
        <w:rPr>
          <w:lang w:val="en-US"/>
        </w:rPr>
        <w:t xml:space="preserve"> above, p.713 and</w:t>
      </w:r>
      <w:r>
        <w:rPr>
          <w:lang w:val="en-US"/>
        </w:rPr>
        <w:t xml:space="preserve"> </w:t>
      </w:r>
      <w:r w:rsidRPr="00124211">
        <w:rPr>
          <w:bCs/>
          <w:lang w:val="en-US"/>
        </w:rPr>
        <w:t>Alan D.</w:t>
      </w:r>
      <w:r w:rsidRPr="00124211">
        <w:rPr>
          <w:lang w:val="en-US"/>
        </w:rPr>
        <w:t>P. Brady,</w:t>
      </w:r>
      <w:r w:rsidRPr="00124211">
        <w:rPr>
          <w:rFonts w:cs="Arial"/>
          <w:shd w:val="clear" w:color="auto" w:fill="FFFFFF"/>
          <w:lang w:val="en-US"/>
        </w:rPr>
        <w:t xml:space="preserve"> </w:t>
      </w:r>
      <w:r w:rsidRPr="00124211">
        <w:rPr>
          <w:rFonts w:cs="Arial"/>
          <w:i/>
          <w:shd w:val="clear" w:color="auto" w:fill="FFFFFF"/>
          <w:lang w:val="en-US"/>
        </w:rPr>
        <w:t>Proportionality and Deference Under the UK Human Rights Act: An Institutionally Sensitive Approach</w:t>
      </w:r>
      <w:r w:rsidRPr="00124211">
        <w:rPr>
          <w:rFonts w:cs="Arial"/>
          <w:shd w:val="clear" w:color="auto" w:fill="FFFFFF"/>
          <w:lang w:val="en-US"/>
        </w:rPr>
        <w:t xml:space="preserve"> (CUP, 2012), p.7.</w:t>
      </w:r>
    </w:p>
  </w:footnote>
  <w:footnote w:id="95">
    <w:p w14:paraId="60B3EACC" w14:textId="6D263136" w:rsidR="00B402A7" w:rsidRPr="0020592C" w:rsidRDefault="00B402A7" w:rsidP="001B7BAC">
      <w:pPr>
        <w:pStyle w:val="Tekstprzypisudolnego"/>
        <w:jc w:val="both"/>
        <w:rPr>
          <w:lang w:val="en-US"/>
        </w:rPr>
      </w:pPr>
      <w:r w:rsidRPr="0020592C">
        <w:rPr>
          <w:rStyle w:val="Odwoanieprzypisudolnego"/>
        </w:rPr>
        <w:footnoteRef/>
      </w:r>
      <w:r w:rsidRPr="0020592C">
        <w:rPr>
          <w:lang w:val="en-US"/>
        </w:rPr>
        <w:t xml:space="preserve"> As also stated by Lord </w:t>
      </w:r>
      <w:r w:rsidRPr="0020592C">
        <w:rPr>
          <w:color w:val="000000"/>
          <w:shd w:val="clear" w:color="auto" w:fill="FFFFFF"/>
          <w:lang w:val="en-US"/>
        </w:rPr>
        <w:t xml:space="preserve">Sumption </w:t>
      </w:r>
      <w:r w:rsidRPr="0020592C">
        <w:rPr>
          <w:lang w:val="en-US"/>
        </w:rPr>
        <w:t xml:space="preserve">in </w:t>
      </w:r>
      <w:r w:rsidRPr="0020592C">
        <w:rPr>
          <w:i/>
          <w:iCs/>
          <w:color w:val="000000"/>
          <w:lang w:val="en-CA"/>
        </w:rPr>
        <w:t xml:space="preserve">Bank Mellat v HM Treasury </w:t>
      </w:r>
      <w:r w:rsidRPr="0020592C">
        <w:rPr>
          <w:iCs/>
          <w:color w:val="000000"/>
          <w:lang w:val="en-CA"/>
        </w:rPr>
        <w:t xml:space="preserve">[2013] UKSC 39; [2013] H.R.L.R. 30 </w:t>
      </w:r>
      <w:r w:rsidRPr="0020592C">
        <w:rPr>
          <w:color w:val="000000"/>
          <w:lang w:val="en-CA"/>
        </w:rPr>
        <w:t>para.20.</w:t>
      </w:r>
      <w:r>
        <w:rPr>
          <w:color w:val="000000"/>
          <w:lang w:val="en-CA"/>
        </w:rPr>
        <w:t xml:space="preserve"> See also </w:t>
      </w:r>
      <w:r w:rsidRPr="00AA4B42">
        <w:rPr>
          <w:bCs/>
          <w:lang w:val="en-US"/>
        </w:rPr>
        <w:t>Richard Gordon</w:t>
      </w:r>
      <w:r>
        <w:rPr>
          <w:bCs/>
          <w:lang w:val="en-US"/>
        </w:rPr>
        <w:t xml:space="preserve"> </w:t>
      </w:r>
      <w:r w:rsidRPr="00941F78">
        <w:rPr>
          <w:bCs/>
          <w:lang w:val="en-US"/>
        </w:rPr>
        <w:t>QC</w:t>
      </w:r>
      <w:r>
        <w:rPr>
          <w:bCs/>
          <w:lang w:val="en-US"/>
        </w:rPr>
        <w:t>, “Two dogmas of Proportionality” (</w:t>
      </w:r>
      <w:r w:rsidRPr="00AA4B42">
        <w:rPr>
          <w:bCs/>
          <w:lang w:val="en-US"/>
        </w:rPr>
        <w:t>2011</w:t>
      </w:r>
      <w:r>
        <w:rPr>
          <w:bCs/>
          <w:lang w:val="en-US"/>
        </w:rPr>
        <w:t>)</w:t>
      </w:r>
      <w:r w:rsidRPr="00AA4B42">
        <w:rPr>
          <w:bCs/>
          <w:lang w:val="en-US"/>
        </w:rPr>
        <w:t xml:space="preserve"> 16(3)</w:t>
      </w:r>
      <w:r>
        <w:rPr>
          <w:bCs/>
          <w:lang w:val="en-US"/>
        </w:rPr>
        <w:t xml:space="preserve"> </w:t>
      </w:r>
      <w:r w:rsidRPr="00AA4B42">
        <w:rPr>
          <w:bCs/>
          <w:lang w:val="en-US"/>
        </w:rPr>
        <w:t>J.R.</w:t>
      </w:r>
      <w:r w:rsidRPr="00CD1E7E">
        <w:rPr>
          <w:bCs/>
          <w:lang w:val="en-US"/>
        </w:rPr>
        <w:t xml:space="preserve"> </w:t>
      </w:r>
      <w:r w:rsidRPr="00AA4B42">
        <w:rPr>
          <w:bCs/>
          <w:lang w:val="en-US"/>
        </w:rPr>
        <w:t>182</w:t>
      </w:r>
      <w:r>
        <w:rPr>
          <w:bCs/>
          <w:lang w:val="en-US"/>
        </w:rPr>
        <w:t>, 184 para.</w:t>
      </w:r>
      <w:r>
        <w:rPr>
          <w:lang w:val="en-CA"/>
        </w:rPr>
        <w:t>14</w:t>
      </w:r>
      <w:r>
        <w:rPr>
          <w:rFonts w:cs="Times New Roman"/>
          <w:lang w:val="en-CA"/>
        </w:rPr>
        <w:t>.</w:t>
      </w:r>
    </w:p>
  </w:footnote>
  <w:footnote w:id="96">
    <w:p w14:paraId="1F325369" w14:textId="5DD412E7" w:rsidR="00B402A7" w:rsidRPr="0007067E" w:rsidRDefault="00B402A7" w:rsidP="001B7BAC">
      <w:pPr>
        <w:pStyle w:val="Tekstprzypisudolnego"/>
        <w:jc w:val="both"/>
        <w:rPr>
          <w:i/>
          <w:lang w:val="en-CA"/>
        </w:rPr>
      </w:pPr>
      <w:r w:rsidRPr="000A021D">
        <w:rPr>
          <w:rStyle w:val="Odwoanieprzypisudolnego"/>
        </w:rPr>
        <w:footnoteRef/>
      </w:r>
      <w:r w:rsidRPr="000A021D">
        <w:rPr>
          <w:lang w:val="en-CA"/>
        </w:rPr>
        <w:t xml:space="preserve"> </w:t>
      </w:r>
      <w:r w:rsidRPr="000A021D">
        <w:rPr>
          <w:bCs/>
          <w:i/>
          <w:lang w:val="en-US"/>
        </w:rPr>
        <w:t xml:space="preserve">Gordon QC, “Two dogmas of Proportionality”, </w:t>
      </w:r>
      <w:r>
        <w:rPr>
          <w:bCs/>
          <w:lang w:val="en-US"/>
        </w:rPr>
        <w:t>fn.95 above, p.</w:t>
      </w:r>
      <w:r w:rsidRPr="000A021D">
        <w:rPr>
          <w:bCs/>
          <w:lang w:val="en-US"/>
        </w:rPr>
        <w:t>184</w:t>
      </w:r>
      <w:r>
        <w:rPr>
          <w:bCs/>
          <w:lang w:val="en-US"/>
        </w:rPr>
        <w:t>,</w:t>
      </w:r>
      <w:r w:rsidRPr="000A021D">
        <w:rPr>
          <w:bCs/>
          <w:lang w:val="en-US"/>
        </w:rPr>
        <w:t xml:space="preserve"> para.</w:t>
      </w:r>
      <w:r w:rsidRPr="000A021D">
        <w:rPr>
          <w:lang w:val="en-CA"/>
        </w:rPr>
        <w:t>14.</w:t>
      </w:r>
    </w:p>
  </w:footnote>
  <w:footnote w:id="97">
    <w:p w14:paraId="708817DC" w14:textId="77777777" w:rsidR="00B402A7" w:rsidRPr="00D41F3F" w:rsidRDefault="00B402A7" w:rsidP="001B7BAC">
      <w:pPr>
        <w:pStyle w:val="Tekstprzypisudolnego"/>
        <w:jc w:val="both"/>
        <w:rPr>
          <w:lang w:val="en-CA"/>
        </w:rPr>
      </w:pPr>
      <w:r>
        <w:rPr>
          <w:rStyle w:val="Odwoanieprzypisudolnego"/>
        </w:rPr>
        <w:footnoteRef/>
      </w:r>
      <w:r w:rsidRPr="00D41F3F">
        <w:rPr>
          <w:lang w:val="en-CA"/>
        </w:rPr>
        <w:t xml:space="preserve"> See, e.g. </w:t>
      </w:r>
      <w:r w:rsidRPr="00F04DFB">
        <w:rPr>
          <w:i/>
          <w:color w:val="000000"/>
          <w:lang w:val="en-CA"/>
        </w:rPr>
        <w:t>Gough and Smith v Chief Constable of Derbyshire</w:t>
      </w:r>
      <w:r w:rsidRPr="00F04DFB">
        <w:rPr>
          <w:color w:val="000000"/>
          <w:lang w:val="en-CA"/>
        </w:rPr>
        <w:t xml:space="preserve"> [2002] Q</w:t>
      </w:r>
      <w:r>
        <w:rPr>
          <w:color w:val="000000"/>
          <w:lang w:val="en-CA"/>
        </w:rPr>
        <w:t>.</w:t>
      </w:r>
      <w:r w:rsidRPr="00F04DFB">
        <w:rPr>
          <w:color w:val="000000"/>
          <w:lang w:val="en-CA"/>
        </w:rPr>
        <w:t>B</w:t>
      </w:r>
      <w:r>
        <w:rPr>
          <w:color w:val="000000"/>
          <w:lang w:val="en-CA"/>
        </w:rPr>
        <w:t>. 1213 paras.</w:t>
      </w:r>
      <w:r w:rsidRPr="00D41F3F">
        <w:rPr>
          <w:lang w:val="en-CA"/>
        </w:rPr>
        <w:t xml:space="preserve">89-90 (criminal </w:t>
      </w:r>
      <w:r>
        <w:rPr>
          <w:lang w:val="en-CA"/>
        </w:rPr>
        <w:t>standard</w:t>
      </w:r>
      <w:r w:rsidRPr="00D41F3F">
        <w:rPr>
          <w:lang w:val="en-CA"/>
        </w:rPr>
        <w:t xml:space="preserve"> of proof)</w:t>
      </w:r>
      <w:r>
        <w:rPr>
          <w:lang w:val="en-CA"/>
        </w:rPr>
        <w:t xml:space="preserve"> and </w:t>
      </w:r>
      <w:hyperlink r:id="rId13" w:history="1">
        <w:r w:rsidRPr="00545F76">
          <w:rPr>
            <w:rFonts w:cs="Times New Roman"/>
            <w:i/>
            <w:lang w:val="en-CA"/>
          </w:rPr>
          <w:t>Secretary of State for the Home Department v MB</w:t>
        </w:r>
        <w:r w:rsidRPr="00545F76">
          <w:rPr>
            <w:rFonts w:cs="Times New Roman"/>
            <w:lang w:val="en-CA"/>
          </w:rPr>
          <w:t xml:space="preserve"> [2007] UKHL 46</w:t>
        </w:r>
      </w:hyperlink>
      <w:r>
        <w:rPr>
          <w:rFonts w:cs="Times New Roman"/>
          <w:lang w:val="en-CA"/>
        </w:rPr>
        <w:t>, paras.</w:t>
      </w:r>
      <w:r>
        <w:rPr>
          <w:lang w:val="en-CA"/>
        </w:rPr>
        <w:t>23-24 (right to a fair hearing).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04F"/>
    <w:multiLevelType w:val="hybridMultilevel"/>
    <w:tmpl w:val="1F242F3E"/>
    <w:lvl w:ilvl="0" w:tplc="BF5CD1D0">
      <w:start w:val="1"/>
      <w:numFmt w:val="upperLetter"/>
      <w:lvlText w:val="%1."/>
      <w:lvlJc w:val="left"/>
      <w:pPr>
        <w:ind w:left="1440" w:hanging="360"/>
      </w:pPr>
      <w:rPr>
        <w:rFonts w:asciiTheme="minorHAnsi" w:eastAsia="PMingLiU" w:hAnsiTheme="minorHAnsi" w:cstheme="minorBidi"/>
        <w:b w:val="0"/>
      </w:rPr>
    </w:lvl>
    <w:lvl w:ilvl="1" w:tplc="CBD660AC">
      <w:start w:val="1"/>
      <w:numFmt w:val="upperLetter"/>
      <w:lvlText w:val="%2."/>
      <w:lvlJc w:val="left"/>
      <w:pPr>
        <w:ind w:left="1440" w:hanging="360"/>
      </w:pPr>
      <w:rPr>
        <w:rFonts w:hint="default"/>
      </w:rPr>
    </w:lvl>
    <w:lvl w:ilvl="2" w:tplc="08130001">
      <w:start w:val="1"/>
      <w:numFmt w:val="bullet"/>
      <w:lvlText w:val=""/>
      <w:lvlJc w:val="left"/>
      <w:pPr>
        <w:ind w:left="2160" w:hanging="180"/>
      </w:pPr>
      <w:rPr>
        <w:rFonts w:ascii="Symbol" w:hAnsi="Symbol" w:hint="default"/>
      </w:rPr>
    </w:lvl>
    <w:lvl w:ilvl="3" w:tplc="0813000F" w:tentative="1">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73C2665"/>
    <w:multiLevelType w:val="hybridMultilevel"/>
    <w:tmpl w:val="072A34D4"/>
    <w:lvl w:ilvl="0" w:tplc="E624A854">
      <w:start w:val="1"/>
      <w:numFmt w:val="bullet"/>
      <w:lvlText w:val="-"/>
      <w:lvlJc w:val="left"/>
      <w:pPr>
        <w:ind w:left="1776" w:hanging="360"/>
      </w:pPr>
      <w:rPr>
        <w:rFonts w:ascii="Calibri" w:eastAsia="PMingLiU" w:hAnsi="Calibri" w:cstheme="minorBid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
    <w:nsid w:val="0D442481"/>
    <w:multiLevelType w:val="hybridMultilevel"/>
    <w:tmpl w:val="0DD61A52"/>
    <w:lvl w:ilvl="0" w:tplc="BF5CD1D0">
      <w:start w:val="1"/>
      <w:numFmt w:val="upperLetter"/>
      <w:lvlText w:val="%1."/>
      <w:lvlJc w:val="left"/>
      <w:pPr>
        <w:ind w:left="1440" w:hanging="360"/>
      </w:pPr>
      <w:rPr>
        <w:rFonts w:asciiTheme="minorHAnsi" w:eastAsia="PMingLiU" w:hAnsiTheme="minorHAnsi" w:cstheme="minorBidi"/>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146CE220">
      <w:start w:val="1"/>
      <w:numFmt w:val="upperLetter"/>
      <w:lvlText w:val="%7."/>
      <w:lvlJc w:val="left"/>
      <w:pPr>
        <w:ind w:left="5040" w:hanging="360"/>
      </w:pPr>
      <w:rPr>
        <w:rFonts w:asciiTheme="minorHAnsi" w:eastAsia="PMingLiU" w:hAnsiTheme="minorHAnsi" w:cstheme="minorBidi"/>
      </w:r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E190474"/>
    <w:multiLevelType w:val="hybridMultilevel"/>
    <w:tmpl w:val="B8343776"/>
    <w:lvl w:ilvl="0" w:tplc="9C362B98">
      <w:numFmt w:val="bullet"/>
      <w:lvlText w:val="-"/>
      <w:lvlJc w:val="left"/>
      <w:pPr>
        <w:ind w:left="720" w:hanging="360"/>
      </w:pPr>
      <w:rPr>
        <w:rFonts w:ascii="Times New Roman" w:eastAsia="PMingLiU"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3863DCE"/>
    <w:multiLevelType w:val="hybridMultilevel"/>
    <w:tmpl w:val="B7BAC94E"/>
    <w:lvl w:ilvl="0" w:tplc="AF5613F4">
      <w:numFmt w:val="bullet"/>
      <w:lvlText w:val="-"/>
      <w:lvlJc w:val="left"/>
      <w:pPr>
        <w:ind w:left="720" w:hanging="360"/>
      </w:pPr>
      <w:rPr>
        <w:rFonts w:ascii="Calibri" w:eastAsia="PMingLiU"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C2E3744"/>
    <w:multiLevelType w:val="multilevel"/>
    <w:tmpl w:val="BF5E0A28"/>
    <w:lvl w:ilvl="0">
      <w:start w:val="1"/>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6">
    <w:nsid w:val="1E2D4CA4"/>
    <w:multiLevelType w:val="hybridMultilevel"/>
    <w:tmpl w:val="52EEE978"/>
    <w:lvl w:ilvl="0" w:tplc="B880B460">
      <w:start w:val="8"/>
      <w:numFmt w:val="bullet"/>
      <w:lvlText w:val=""/>
      <w:lvlJc w:val="left"/>
      <w:pPr>
        <w:ind w:left="1080" w:hanging="360"/>
      </w:pPr>
      <w:rPr>
        <w:rFonts w:ascii="Wingdings" w:eastAsia="PMingLiU"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nsid w:val="20645F1D"/>
    <w:multiLevelType w:val="hybridMultilevel"/>
    <w:tmpl w:val="56EE6904"/>
    <w:lvl w:ilvl="0" w:tplc="2D08D64A">
      <w:start w:val="1"/>
      <w:numFmt w:val="upperLetter"/>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3443185"/>
    <w:multiLevelType w:val="hybridMultilevel"/>
    <w:tmpl w:val="96AA6D38"/>
    <w:lvl w:ilvl="0" w:tplc="283C075C">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41E5413"/>
    <w:multiLevelType w:val="hybridMultilevel"/>
    <w:tmpl w:val="F856A7F8"/>
    <w:lvl w:ilvl="0" w:tplc="0B38E6B2">
      <w:start w:val="1"/>
      <w:numFmt w:val="lowerLetter"/>
      <w:lvlText w:val="(%1)"/>
      <w:lvlJc w:val="left"/>
      <w:pPr>
        <w:ind w:left="1800" w:hanging="360"/>
      </w:pPr>
      <w:rPr>
        <w:rFonts w:hint="default"/>
        <w:b/>
      </w:rPr>
    </w:lvl>
    <w:lvl w:ilvl="1" w:tplc="08130019">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10">
    <w:nsid w:val="2C020DF3"/>
    <w:multiLevelType w:val="hybridMultilevel"/>
    <w:tmpl w:val="7F52F398"/>
    <w:lvl w:ilvl="0" w:tplc="84286852">
      <w:start w:val="4"/>
      <w:numFmt w:val="bullet"/>
      <w:lvlText w:val="-"/>
      <w:lvlJc w:val="left"/>
      <w:pPr>
        <w:ind w:left="1080" w:hanging="360"/>
      </w:pPr>
      <w:rPr>
        <w:rFonts w:ascii="Calibri" w:eastAsia="PMingLiU" w:hAnsi="Calibri"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nsid w:val="34090958"/>
    <w:multiLevelType w:val="hybridMultilevel"/>
    <w:tmpl w:val="B2645D50"/>
    <w:lvl w:ilvl="0" w:tplc="1C2AF39E">
      <w:start w:val="8"/>
      <w:numFmt w:val="bullet"/>
      <w:lvlText w:val=""/>
      <w:lvlJc w:val="left"/>
      <w:pPr>
        <w:ind w:left="720" w:hanging="360"/>
      </w:pPr>
      <w:rPr>
        <w:rFonts w:ascii="Wingdings" w:eastAsia="PMingLiU"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5900DC9"/>
    <w:multiLevelType w:val="hybridMultilevel"/>
    <w:tmpl w:val="69066D3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36786672"/>
    <w:multiLevelType w:val="hybridMultilevel"/>
    <w:tmpl w:val="A246E34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37C3740A"/>
    <w:multiLevelType w:val="hybridMultilevel"/>
    <w:tmpl w:val="44725572"/>
    <w:lvl w:ilvl="0" w:tplc="B14C4C6C">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84F72A7"/>
    <w:multiLevelType w:val="hybridMultilevel"/>
    <w:tmpl w:val="B4E0A1FA"/>
    <w:lvl w:ilvl="0" w:tplc="5F9A2444">
      <w:numFmt w:val="bullet"/>
      <w:lvlText w:val="-"/>
      <w:lvlJc w:val="left"/>
      <w:pPr>
        <w:ind w:left="405" w:hanging="360"/>
      </w:pPr>
      <w:rPr>
        <w:rFonts w:ascii="Calibri" w:eastAsiaTheme="minorHAnsi" w:hAnsi="Calibri" w:cstheme="minorBidi" w:hint="default"/>
      </w:rPr>
    </w:lvl>
    <w:lvl w:ilvl="1" w:tplc="08130003">
      <w:start w:val="1"/>
      <w:numFmt w:val="bullet"/>
      <w:lvlText w:val="o"/>
      <w:lvlJc w:val="left"/>
      <w:pPr>
        <w:ind w:left="1125" w:hanging="360"/>
      </w:pPr>
      <w:rPr>
        <w:rFonts w:ascii="Courier New" w:hAnsi="Courier New" w:cs="Courier New" w:hint="default"/>
      </w:rPr>
    </w:lvl>
    <w:lvl w:ilvl="2" w:tplc="08130005">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6">
    <w:nsid w:val="38AC6439"/>
    <w:multiLevelType w:val="hybridMultilevel"/>
    <w:tmpl w:val="8B1E9D78"/>
    <w:lvl w:ilvl="0" w:tplc="EA1836C4">
      <w:start w:val="1"/>
      <w:numFmt w:val="bullet"/>
      <w:lvlText w:val="-"/>
      <w:lvlJc w:val="left"/>
      <w:pPr>
        <w:ind w:left="720" w:hanging="360"/>
      </w:pPr>
      <w:rPr>
        <w:rFonts w:ascii="Calibri" w:eastAsia="PMingLiU"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A191637"/>
    <w:multiLevelType w:val="hybridMultilevel"/>
    <w:tmpl w:val="029A2CB4"/>
    <w:lvl w:ilvl="0" w:tplc="4D1ECCD2">
      <w:numFmt w:val="bullet"/>
      <w:lvlText w:val="-"/>
      <w:lvlJc w:val="left"/>
      <w:pPr>
        <w:ind w:left="1080" w:hanging="360"/>
      </w:pPr>
      <w:rPr>
        <w:rFonts w:ascii="Calibri" w:eastAsia="PMingLiU" w:hAnsi="Calibri" w:cstheme="minorBidi" w:hint="default"/>
        <w:color w:val="auto"/>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nsid w:val="40DA267A"/>
    <w:multiLevelType w:val="hybridMultilevel"/>
    <w:tmpl w:val="99D4C4C2"/>
    <w:lvl w:ilvl="0" w:tplc="023297C8">
      <w:start w:val="1"/>
      <w:numFmt w:val="upperLetter"/>
      <w:lvlText w:val="%1."/>
      <w:lvlJc w:val="left"/>
      <w:pPr>
        <w:ind w:left="1440" w:hanging="360"/>
      </w:pPr>
      <w:rPr>
        <w:rFonts w:asciiTheme="minorHAnsi" w:eastAsia="PMingLiU" w:hAnsiTheme="minorHAnsi" w:cstheme="minorBidi"/>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start w:val="1"/>
      <w:numFmt w:val="lowerLetter"/>
      <w:lvlText w:val="%5."/>
      <w:lvlJc w:val="left"/>
      <w:pPr>
        <w:ind w:left="3600" w:hanging="360"/>
      </w:pPr>
    </w:lvl>
    <w:lvl w:ilvl="5" w:tplc="08130001">
      <w:start w:val="1"/>
      <w:numFmt w:val="bullet"/>
      <w:lvlText w:val=""/>
      <w:lvlJc w:val="left"/>
      <w:pPr>
        <w:ind w:left="4320" w:hanging="180"/>
      </w:pPr>
      <w:rPr>
        <w:rFonts w:ascii="Symbol" w:hAnsi="Symbol" w:hint="default"/>
      </w:rPr>
    </w:lvl>
    <w:lvl w:ilvl="6" w:tplc="0813000F">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5B367A36"/>
    <w:multiLevelType w:val="hybridMultilevel"/>
    <w:tmpl w:val="9CE81A88"/>
    <w:lvl w:ilvl="0" w:tplc="995CC5B8">
      <w:start w:val="1"/>
      <w:numFmt w:val="lowerRoman"/>
      <w:lvlText w:val="(%1)"/>
      <w:lvlJc w:val="left"/>
      <w:pPr>
        <w:ind w:left="1440" w:hanging="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nsid w:val="619272A7"/>
    <w:multiLevelType w:val="hybridMultilevel"/>
    <w:tmpl w:val="4BAA26EA"/>
    <w:lvl w:ilvl="0" w:tplc="470E34E0">
      <w:start w:val="1"/>
      <w:numFmt w:val="upperLetter"/>
      <w:lvlText w:val="%1."/>
      <w:lvlJc w:val="left"/>
      <w:pPr>
        <w:ind w:left="5040" w:hanging="360"/>
      </w:pPr>
      <w:rPr>
        <w:rFonts w:asciiTheme="minorHAnsi" w:eastAsia="PMingLiU" w:hAnsiTheme="minorHAnsi" w:cstheme="minorBid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65287A2C"/>
    <w:multiLevelType w:val="hybridMultilevel"/>
    <w:tmpl w:val="239EB710"/>
    <w:lvl w:ilvl="0" w:tplc="A36AB3DA">
      <w:start w:val="8"/>
      <w:numFmt w:val="bullet"/>
      <w:lvlText w:val="-"/>
      <w:lvlJc w:val="left"/>
      <w:pPr>
        <w:ind w:left="720" w:hanging="360"/>
      </w:pPr>
      <w:rPr>
        <w:rFonts w:ascii="Times New Roman" w:eastAsia="PMingLiU"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52B6C72"/>
    <w:multiLevelType w:val="hybridMultilevel"/>
    <w:tmpl w:val="25847FB6"/>
    <w:lvl w:ilvl="0" w:tplc="531CA93E">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602353E"/>
    <w:multiLevelType w:val="hybridMultilevel"/>
    <w:tmpl w:val="7D3E3FAE"/>
    <w:lvl w:ilvl="0" w:tplc="DB20D48C">
      <w:start w:val="2"/>
      <w:numFmt w:val="bullet"/>
      <w:lvlText w:val="-"/>
      <w:lvlJc w:val="left"/>
      <w:pPr>
        <w:ind w:left="720" w:hanging="360"/>
      </w:pPr>
      <w:rPr>
        <w:rFonts w:ascii="Times New Roman" w:eastAsiaTheme="minorHAns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B001A99"/>
    <w:multiLevelType w:val="hybridMultilevel"/>
    <w:tmpl w:val="D1AE85C4"/>
    <w:lvl w:ilvl="0" w:tplc="1A42D35A">
      <w:numFmt w:val="bullet"/>
      <w:lvlText w:val=""/>
      <w:lvlJc w:val="left"/>
      <w:pPr>
        <w:ind w:left="720" w:hanging="360"/>
      </w:pPr>
      <w:rPr>
        <w:rFonts w:ascii="Wingdings" w:eastAsia="PMingLiU"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D7855F5"/>
    <w:multiLevelType w:val="hybridMultilevel"/>
    <w:tmpl w:val="4B2A1D5C"/>
    <w:lvl w:ilvl="0" w:tplc="7D408B1C">
      <w:numFmt w:val="bullet"/>
      <w:lvlText w:val="-"/>
      <w:lvlJc w:val="left"/>
      <w:pPr>
        <w:ind w:left="720" w:hanging="360"/>
      </w:pPr>
      <w:rPr>
        <w:rFonts w:ascii="Cambria" w:eastAsiaTheme="majorEastAsia" w:hAnsi="Cambria"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DD00305"/>
    <w:multiLevelType w:val="hybridMultilevel"/>
    <w:tmpl w:val="2B74760E"/>
    <w:lvl w:ilvl="0" w:tplc="F0825090">
      <w:start w:val="8"/>
      <w:numFmt w:val="bullet"/>
      <w:lvlText w:val=""/>
      <w:lvlJc w:val="left"/>
      <w:pPr>
        <w:ind w:left="720" w:hanging="360"/>
      </w:pPr>
      <w:rPr>
        <w:rFonts w:ascii="Wingdings" w:eastAsia="PMingLiU"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F7D6239"/>
    <w:multiLevelType w:val="hybridMultilevel"/>
    <w:tmpl w:val="BF5E1456"/>
    <w:lvl w:ilvl="0" w:tplc="D7265B4A">
      <w:start w:val="1"/>
      <w:numFmt w:val="upperLetter"/>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70496F7C"/>
    <w:multiLevelType w:val="hybridMultilevel"/>
    <w:tmpl w:val="EB0E25AC"/>
    <w:lvl w:ilvl="0" w:tplc="669AB5AA">
      <w:numFmt w:val="bullet"/>
      <w:lvlText w:val="-"/>
      <w:lvlJc w:val="left"/>
      <w:pPr>
        <w:ind w:left="720" w:hanging="360"/>
      </w:pPr>
      <w:rPr>
        <w:rFonts w:ascii="Calibri" w:eastAsia="PMingLiU" w:hAnsi="Calibri" w:cstheme="minorBidi" w:hint="default"/>
      </w:rPr>
    </w:lvl>
    <w:lvl w:ilvl="1" w:tplc="023297C8">
      <w:start w:val="1"/>
      <w:numFmt w:val="upperLetter"/>
      <w:lvlText w:val="%2."/>
      <w:lvlJc w:val="left"/>
      <w:pPr>
        <w:ind w:left="1440" w:hanging="360"/>
      </w:pPr>
      <w:rPr>
        <w:rFonts w:asciiTheme="minorHAnsi" w:eastAsia="PMingLiU" w:hAnsiTheme="minorHAnsi" w:cstheme="minorBidi"/>
      </w:rPr>
    </w:lvl>
    <w:lvl w:ilvl="2" w:tplc="08130001">
      <w:start w:val="1"/>
      <w:numFmt w:val="bullet"/>
      <w:lvlText w:val=""/>
      <w:lvlJc w:val="left"/>
      <w:pPr>
        <w:ind w:left="2160" w:hanging="360"/>
      </w:pPr>
      <w:rPr>
        <w:rFonts w:ascii="Symbol" w:hAnsi="Symbol" w:hint="default"/>
      </w:rPr>
    </w:lvl>
    <w:lvl w:ilvl="3" w:tplc="08130001">
      <w:start w:val="1"/>
      <w:numFmt w:val="bullet"/>
      <w:lvlText w:val=""/>
      <w:lvlJc w:val="left"/>
      <w:pPr>
        <w:ind w:left="2880" w:hanging="360"/>
      </w:pPr>
      <w:rPr>
        <w:rFonts w:ascii="Symbol" w:hAnsi="Symbol" w:hint="default"/>
      </w:rPr>
    </w:lvl>
    <w:lvl w:ilvl="4" w:tplc="0C72F204">
      <w:numFmt w:val="bullet"/>
      <w:lvlText w:val=""/>
      <w:lvlJc w:val="left"/>
      <w:pPr>
        <w:ind w:left="3600" w:hanging="360"/>
      </w:pPr>
      <w:rPr>
        <w:rFonts w:ascii="Wingdings" w:eastAsia="PMingLiU" w:hAnsi="Wingdings" w:cstheme="minorBidi" w:hint="default"/>
      </w:rPr>
    </w:lvl>
    <w:lvl w:ilvl="5" w:tplc="08130005">
      <w:start w:val="1"/>
      <w:numFmt w:val="bullet"/>
      <w:lvlText w:val=""/>
      <w:lvlJc w:val="left"/>
      <w:pPr>
        <w:ind w:left="4320" w:hanging="360"/>
      </w:pPr>
      <w:rPr>
        <w:rFonts w:ascii="Wingdings" w:hAnsi="Wingdings" w:hint="default"/>
      </w:rPr>
    </w:lvl>
    <w:lvl w:ilvl="6" w:tplc="DFE606F4">
      <w:start w:val="1"/>
      <w:numFmt w:val="lowerLetter"/>
      <w:lvlText w:val="(%7)"/>
      <w:lvlJc w:val="left"/>
      <w:pPr>
        <w:ind w:left="5040" w:hanging="360"/>
      </w:pPr>
      <w:rPr>
        <w:rFonts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70DC6579"/>
    <w:multiLevelType w:val="hybridMultilevel"/>
    <w:tmpl w:val="69066D3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73ED17FA"/>
    <w:multiLevelType w:val="hybridMultilevel"/>
    <w:tmpl w:val="F3F0F1F4"/>
    <w:lvl w:ilvl="0" w:tplc="BF8CDB34">
      <w:numFmt w:val="bullet"/>
      <w:lvlText w:val=""/>
      <w:lvlJc w:val="left"/>
      <w:pPr>
        <w:ind w:left="1800" w:hanging="360"/>
      </w:pPr>
      <w:rPr>
        <w:rFonts w:ascii="Wingdings" w:eastAsia="PMingLiU" w:hAnsi="Wingdings" w:cstheme="minorBidi" w:hint="default"/>
        <w:color w:val="000000"/>
        <w:sz w:val="27"/>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1">
    <w:nsid w:val="7D11519B"/>
    <w:multiLevelType w:val="hybridMultilevel"/>
    <w:tmpl w:val="423E9AC4"/>
    <w:lvl w:ilvl="0" w:tplc="392CD59C">
      <w:numFmt w:val="bullet"/>
      <w:lvlText w:val="-"/>
      <w:lvlJc w:val="left"/>
      <w:pPr>
        <w:ind w:left="720" w:hanging="360"/>
      </w:pPr>
      <w:rPr>
        <w:rFonts w:ascii="Calibri" w:eastAsia="PMingLiU"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E1955B8"/>
    <w:multiLevelType w:val="hybridMultilevel"/>
    <w:tmpl w:val="60E255FE"/>
    <w:lvl w:ilvl="0" w:tplc="B71C51BE">
      <w:start w:val="1"/>
      <w:numFmt w:val="decimal"/>
      <w:lvlText w:val="%1."/>
      <w:lvlJc w:val="left"/>
      <w:pPr>
        <w:tabs>
          <w:tab w:val="num" w:pos="360"/>
        </w:tabs>
        <w:ind w:left="360" w:hanging="360"/>
      </w:pPr>
      <w:rPr>
        <w:rFonts w:hint="default"/>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12"/>
  </w:num>
  <w:num w:numId="3">
    <w:abstractNumId w:val="1"/>
  </w:num>
  <w:num w:numId="4">
    <w:abstractNumId w:val="10"/>
  </w:num>
  <w:num w:numId="5">
    <w:abstractNumId w:val="28"/>
  </w:num>
  <w:num w:numId="6">
    <w:abstractNumId w:val="29"/>
  </w:num>
  <w:num w:numId="7">
    <w:abstractNumId w:val="9"/>
  </w:num>
  <w:num w:numId="8">
    <w:abstractNumId w:val="20"/>
  </w:num>
  <w:num w:numId="9">
    <w:abstractNumId w:val="5"/>
  </w:num>
  <w:num w:numId="10">
    <w:abstractNumId w:val="2"/>
  </w:num>
  <w:num w:numId="11">
    <w:abstractNumId w:val="18"/>
  </w:num>
  <w:num w:numId="12">
    <w:abstractNumId w:val="0"/>
  </w:num>
  <w:num w:numId="13">
    <w:abstractNumId w:val="17"/>
  </w:num>
  <w:num w:numId="14">
    <w:abstractNumId w:val="19"/>
  </w:num>
  <w:num w:numId="15">
    <w:abstractNumId w:val="16"/>
  </w:num>
  <w:num w:numId="16">
    <w:abstractNumId w:val="13"/>
  </w:num>
  <w:num w:numId="17">
    <w:abstractNumId w:val="23"/>
  </w:num>
  <w:num w:numId="18">
    <w:abstractNumId w:val="27"/>
  </w:num>
  <w:num w:numId="19">
    <w:abstractNumId w:val="8"/>
  </w:num>
  <w:num w:numId="20">
    <w:abstractNumId w:val="7"/>
  </w:num>
  <w:num w:numId="21">
    <w:abstractNumId w:val="25"/>
  </w:num>
  <w:num w:numId="22">
    <w:abstractNumId w:val="4"/>
  </w:num>
  <w:num w:numId="23">
    <w:abstractNumId w:val="15"/>
  </w:num>
  <w:num w:numId="24">
    <w:abstractNumId w:val="32"/>
  </w:num>
  <w:num w:numId="25">
    <w:abstractNumId w:val="21"/>
  </w:num>
  <w:num w:numId="26">
    <w:abstractNumId w:val="6"/>
  </w:num>
  <w:num w:numId="27">
    <w:abstractNumId w:val="11"/>
  </w:num>
  <w:num w:numId="28">
    <w:abstractNumId w:val="26"/>
  </w:num>
  <w:num w:numId="29">
    <w:abstractNumId w:val="3"/>
  </w:num>
  <w:num w:numId="30">
    <w:abstractNumId w:val="14"/>
  </w:num>
  <w:num w:numId="31">
    <w:abstractNumId w:val="30"/>
  </w:num>
  <w:num w:numId="32">
    <w:abstractNumId w:val="2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A3"/>
    <w:rsid w:val="000008B2"/>
    <w:rsid w:val="00001C26"/>
    <w:rsid w:val="0000658B"/>
    <w:rsid w:val="00011109"/>
    <w:rsid w:val="000122C1"/>
    <w:rsid w:val="0001406D"/>
    <w:rsid w:val="000143A3"/>
    <w:rsid w:val="00014836"/>
    <w:rsid w:val="00014CCF"/>
    <w:rsid w:val="000159AE"/>
    <w:rsid w:val="00015A39"/>
    <w:rsid w:val="00016D72"/>
    <w:rsid w:val="00016EC1"/>
    <w:rsid w:val="00017086"/>
    <w:rsid w:val="000229EE"/>
    <w:rsid w:val="00023242"/>
    <w:rsid w:val="00024B5C"/>
    <w:rsid w:val="000254C2"/>
    <w:rsid w:val="00025B58"/>
    <w:rsid w:val="00026190"/>
    <w:rsid w:val="0002768C"/>
    <w:rsid w:val="000276E8"/>
    <w:rsid w:val="00027CBE"/>
    <w:rsid w:val="00030BD3"/>
    <w:rsid w:val="000320E0"/>
    <w:rsid w:val="000339D8"/>
    <w:rsid w:val="00033C12"/>
    <w:rsid w:val="00033D92"/>
    <w:rsid w:val="0003453C"/>
    <w:rsid w:val="000359C2"/>
    <w:rsid w:val="00036AF4"/>
    <w:rsid w:val="0004197D"/>
    <w:rsid w:val="000500CC"/>
    <w:rsid w:val="000503D8"/>
    <w:rsid w:val="00050943"/>
    <w:rsid w:val="0005173D"/>
    <w:rsid w:val="000519F1"/>
    <w:rsid w:val="00052522"/>
    <w:rsid w:val="00053261"/>
    <w:rsid w:val="00053CF5"/>
    <w:rsid w:val="000604BD"/>
    <w:rsid w:val="00062ACF"/>
    <w:rsid w:val="00063487"/>
    <w:rsid w:val="00064D08"/>
    <w:rsid w:val="00065518"/>
    <w:rsid w:val="00066CF1"/>
    <w:rsid w:val="00067B1C"/>
    <w:rsid w:val="0007067E"/>
    <w:rsid w:val="00070708"/>
    <w:rsid w:val="00071EC4"/>
    <w:rsid w:val="000723D3"/>
    <w:rsid w:val="00073039"/>
    <w:rsid w:val="000742A5"/>
    <w:rsid w:val="00077218"/>
    <w:rsid w:val="00090EE7"/>
    <w:rsid w:val="000931C6"/>
    <w:rsid w:val="00093E46"/>
    <w:rsid w:val="00094335"/>
    <w:rsid w:val="00094645"/>
    <w:rsid w:val="00097736"/>
    <w:rsid w:val="000A021D"/>
    <w:rsid w:val="000A0E4A"/>
    <w:rsid w:val="000A2978"/>
    <w:rsid w:val="000A2CA6"/>
    <w:rsid w:val="000A37E4"/>
    <w:rsid w:val="000A384A"/>
    <w:rsid w:val="000A4070"/>
    <w:rsid w:val="000A451A"/>
    <w:rsid w:val="000A6E9A"/>
    <w:rsid w:val="000A7D57"/>
    <w:rsid w:val="000B0191"/>
    <w:rsid w:val="000B0B58"/>
    <w:rsid w:val="000B15BE"/>
    <w:rsid w:val="000B330E"/>
    <w:rsid w:val="000B36F9"/>
    <w:rsid w:val="000B6DAE"/>
    <w:rsid w:val="000B70C6"/>
    <w:rsid w:val="000B7B1F"/>
    <w:rsid w:val="000D0788"/>
    <w:rsid w:val="000D1A88"/>
    <w:rsid w:val="000D27E1"/>
    <w:rsid w:val="000D4B67"/>
    <w:rsid w:val="000D4DE9"/>
    <w:rsid w:val="000D6EFB"/>
    <w:rsid w:val="000E0273"/>
    <w:rsid w:val="000E15B5"/>
    <w:rsid w:val="000E2F89"/>
    <w:rsid w:val="000E46E0"/>
    <w:rsid w:val="000E4B2B"/>
    <w:rsid w:val="000E6894"/>
    <w:rsid w:val="000F20D9"/>
    <w:rsid w:val="000F22DA"/>
    <w:rsid w:val="000F2BE3"/>
    <w:rsid w:val="000F356D"/>
    <w:rsid w:val="000F59FA"/>
    <w:rsid w:val="000F638B"/>
    <w:rsid w:val="000F65BF"/>
    <w:rsid w:val="0010266C"/>
    <w:rsid w:val="00102E20"/>
    <w:rsid w:val="00103202"/>
    <w:rsid w:val="001069E0"/>
    <w:rsid w:val="00107270"/>
    <w:rsid w:val="00111B2F"/>
    <w:rsid w:val="00117CBB"/>
    <w:rsid w:val="00117D2E"/>
    <w:rsid w:val="001201E2"/>
    <w:rsid w:val="00121E39"/>
    <w:rsid w:val="00124211"/>
    <w:rsid w:val="001259C1"/>
    <w:rsid w:val="00125B24"/>
    <w:rsid w:val="00130204"/>
    <w:rsid w:val="001313AA"/>
    <w:rsid w:val="00132816"/>
    <w:rsid w:val="0013485D"/>
    <w:rsid w:val="001363B6"/>
    <w:rsid w:val="00137AA5"/>
    <w:rsid w:val="0014322A"/>
    <w:rsid w:val="001458A7"/>
    <w:rsid w:val="00146449"/>
    <w:rsid w:val="00147FD1"/>
    <w:rsid w:val="00150F01"/>
    <w:rsid w:val="00153890"/>
    <w:rsid w:val="00153A4B"/>
    <w:rsid w:val="00154EC0"/>
    <w:rsid w:val="001551B3"/>
    <w:rsid w:val="00155745"/>
    <w:rsid w:val="001557C4"/>
    <w:rsid w:val="00156CEE"/>
    <w:rsid w:val="00157357"/>
    <w:rsid w:val="001575AE"/>
    <w:rsid w:val="00157BF0"/>
    <w:rsid w:val="001602B8"/>
    <w:rsid w:val="001603DB"/>
    <w:rsid w:val="00161BD3"/>
    <w:rsid w:val="0016405A"/>
    <w:rsid w:val="00164C37"/>
    <w:rsid w:val="00165676"/>
    <w:rsid w:val="0016679C"/>
    <w:rsid w:val="001677B8"/>
    <w:rsid w:val="00173ED9"/>
    <w:rsid w:val="00175260"/>
    <w:rsid w:val="00175657"/>
    <w:rsid w:val="00180715"/>
    <w:rsid w:val="00181198"/>
    <w:rsid w:val="001822F6"/>
    <w:rsid w:val="00182A5F"/>
    <w:rsid w:val="00183F7B"/>
    <w:rsid w:val="001859B3"/>
    <w:rsid w:val="00186F6D"/>
    <w:rsid w:val="0018746B"/>
    <w:rsid w:val="001874B8"/>
    <w:rsid w:val="00187F57"/>
    <w:rsid w:val="0019051E"/>
    <w:rsid w:val="001922D4"/>
    <w:rsid w:val="001929C8"/>
    <w:rsid w:val="00193D0E"/>
    <w:rsid w:val="001943F5"/>
    <w:rsid w:val="001974CB"/>
    <w:rsid w:val="001A211F"/>
    <w:rsid w:val="001A2142"/>
    <w:rsid w:val="001A3673"/>
    <w:rsid w:val="001A3C2A"/>
    <w:rsid w:val="001A43BB"/>
    <w:rsid w:val="001B06AE"/>
    <w:rsid w:val="001B25DF"/>
    <w:rsid w:val="001B29BC"/>
    <w:rsid w:val="001B35FC"/>
    <w:rsid w:val="001B7BAC"/>
    <w:rsid w:val="001C0B83"/>
    <w:rsid w:val="001C0B84"/>
    <w:rsid w:val="001C0DD8"/>
    <w:rsid w:val="001C2353"/>
    <w:rsid w:val="001C5A09"/>
    <w:rsid w:val="001C5A5D"/>
    <w:rsid w:val="001C68E4"/>
    <w:rsid w:val="001D2364"/>
    <w:rsid w:val="001D23A6"/>
    <w:rsid w:val="001D4D79"/>
    <w:rsid w:val="001D74F7"/>
    <w:rsid w:val="001D7C6B"/>
    <w:rsid w:val="001D7D45"/>
    <w:rsid w:val="001E0453"/>
    <w:rsid w:val="001E09C8"/>
    <w:rsid w:val="001E187D"/>
    <w:rsid w:val="001E244D"/>
    <w:rsid w:val="001E38DF"/>
    <w:rsid w:val="001E3A50"/>
    <w:rsid w:val="001E55D5"/>
    <w:rsid w:val="001E57BA"/>
    <w:rsid w:val="001E66AD"/>
    <w:rsid w:val="001E7268"/>
    <w:rsid w:val="001F1EFB"/>
    <w:rsid w:val="001F200C"/>
    <w:rsid w:val="001F20F5"/>
    <w:rsid w:val="001F21EB"/>
    <w:rsid w:val="001F5753"/>
    <w:rsid w:val="001F5CF2"/>
    <w:rsid w:val="001F5DF1"/>
    <w:rsid w:val="001F7B69"/>
    <w:rsid w:val="001F7C31"/>
    <w:rsid w:val="00201808"/>
    <w:rsid w:val="00201A76"/>
    <w:rsid w:val="0020209F"/>
    <w:rsid w:val="00203DC4"/>
    <w:rsid w:val="0020592C"/>
    <w:rsid w:val="00205DF8"/>
    <w:rsid w:val="00206390"/>
    <w:rsid w:val="00206D7D"/>
    <w:rsid w:val="002118AC"/>
    <w:rsid w:val="00211AC8"/>
    <w:rsid w:val="00212283"/>
    <w:rsid w:val="002128F2"/>
    <w:rsid w:val="00212A99"/>
    <w:rsid w:val="002148C4"/>
    <w:rsid w:val="002159BB"/>
    <w:rsid w:val="00216D5D"/>
    <w:rsid w:val="00221829"/>
    <w:rsid w:val="0022227A"/>
    <w:rsid w:val="00222517"/>
    <w:rsid w:val="002228A2"/>
    <w:rsid w:val="00222BDA"/>
    <w:rsid w:val="002241D6"/>
    <w:rsid w:val="00225398"/>
    <w:rsid w:val="00227129"/>
    <w:rsid w:val="0023254D"/>
    <w:rsid w:val="0023283B"/>
    <w:rsid w:val="002328DD"/>
    <w:rsid w:val="002344A5"/>
    <w:rsid w:val="002404D3"/>
    <w:rsid w:val="0024072D"/>
    <w:rsid w:val="002409BF"/>
    <w:rsid w:val="00240DCD"/>
    <w:rsid w:val="002412DF"/>
    <w:rsid w:val="0024229B"/>
    <w:rsid w:val="00242B3D"/>
    <w:rsid w:val="00245B89"/>
    <w:rsid w:val="00245C62"/>
    <w:rsid w:val="00253628"/>
    <w:rsid w:val="00255956"/>
    <w:rsid w:val="0025656D"/>
    <w:rsid w:val="00261252"/>
    <w:rsid w:val="002616F9"/>
    <w:rsid w:val="00262352"/>
    <w:rsid w:val="00262749"/>
    <w:rsid w:val="00264314"/>
    <w:rsid w:val="0026457A"/>
    <w:rsid w:val="00270D16"/>
    <w:rsid w:val="002719D3"/>
    <w:rsid w:val="00272A2E"/>
    <w:rsid w:val="00272B93"/>
    <w:rsid w:val="00272D7F"/>
    <w:rsid w:val="00272F12"/>
    <w:rsid w:val="00273989"/>
    <w:rsid w:val="00274C34"/>
    <w:rsid w:val="00274F4E"/>
    <w:rsid w:val="002768FE"/>
    <w:rsid w:val="00276CE8"/>
    <w:rsid w:val="00277118"/>
    <w:rsid w:val="002816C9"/>
    <w:rsid w:val="00285360"/>
    <w:rsid w:val="002855E6"/>
    <w:rsid w:val="002856F3"/>
    <w:rsid w:val="00287E20"/>
    <w:rsid w:val="00290C90"/>
    <w:rsid w:val="002912C7"/>
    <w:rsid w:val="00292092"/>
    <w:rsid w:val="00292C28"/>
    <w:rsid w:val="00293947"/>
    <w:rsid w:val="00293D74"/>
    <w:rsid w:val="002941D2"/>
    <w:rsid w:val="00294739"/>
    <w:rsid w:val="00294B13"/>
    <w:rsid w:val="002A094F"/>
    <w:rsid w:val="002A0EA7"/>
    <w:rsid w:val="002A1478"/>
    <w:rsid w:val="002A73CA"/>
    <w:rsid w:val="002B30E1"/>
    <w:rsid w:val="002B3E70"/>
    <w:rsid w:val="002B4894"/>
    <w:rsid w:val="002B5053"/>
    <w:rsid w:val="002B661F"/>
    <w:rsid w:val="002B7445"/>
    <w:rsid w:val="002B7709"/>
    <w:rsid w:val="002C0688"/>
    <w:rsid w:val="002C06B9"/>
    <w:rsid w:val="002C0BF7"/>
    <w:rsid w:val="002C3722"/>
    <w:rsid w:val="002C37CF"/>
    <w:rsid w:val="002C45E7"/>
    <w:rsid w:val="002C4F65"/>
    <w:rsid w:val="002C6267"/>
    <w:rsid w:val="002C699D"/>
    <w:rsid w:val="002D128E"/>
    <w:rsid w:val="002D180F"/>
    <w:rsid w:val="002D1F31"/>
    <w:rsid w:val="002D3A5A"/>
    <w:rsid w:val="002D6AF8"/>
    <w:rsid w:val="002E2901"/>
    <w:rsid w:val="002E4923"/>
    <w:rsid w:val="002F1239"/>
    <w:rsid w:val="002F1723"/>
    <w:rsid w:val="002F2BE1"/>
    <w:rsid w:val="002F3B5D"/>
    <w:rsid w:val="002F42E8"/>
    <w:rsid w:val="002F49D8"/>
    <w:rsid w:val="002F5E5A"/>
    <w:rsid w:val="002F6BAE"/>
    <w:rsid w:val="002F7C0F"/>
    <w:rsid w:val="003006AD"/>
    <w:rsid w:val="00302BDB"/>
    <w:rsid w:val="003031EE"/>
    <w:rsid w:val="003045EB"/>
    <w:rsid w:val="003103AE"/>
    <w:rsid w:val="00311269"/>
    <w:rsid w:val="003117EE"/>
    <w:rsid w:val="003128AE"/>
    <w:rsid w:val="00312D53"/>
    <w:rsid w:val="0031493A"/>
    <w:rsid w:val="00315D20"/>
    <w:rsid w:val="0031602C"/>
    <w:rsid w:val="00316393"/>
    <w:rsid w:val="00317856"/>
    <w:rsid w:val="00320085"/>
    <w:rsid w:val="003214B7"/>
    <w:rsid w:val="003231E9"/>
    <w:rsid w:val="00323DEF"/>
    <w:rsid w:val="00324B59"/>
    <w:rsid w:val="00330E52"/>
    <w:rsid w:val="00330F46"/>
    <w:rsid w:val="003324D0"/>
    <w:rsid w:val="003409FD"/>
    <w:rsid w:val="003417AA"/>
    <w:rsid w:val="00343117"/>
    <w:rsid w:val="00344340"/>
    <w:rsid w:val="0034562A"/>
    <w:rsid w:val="00345EDD"/>
    <w:rsid w:val="003465B0"/>
    <w:rsid w:val="00346F13"/>
    <w:rsid w:val="00351D88"/>
    <w:rsid w:val="00353ADD"/>
    <w:rsid w:val="00353E9B"/>
    <w:rsid w:val="00353FDA"/>
    <w:rsid w:val="003554F1"/>
    <w:rsid w:val="00355ECA"/>
    <w:rsid w:val="00356503"/>
    <w:rsid w:val="00356FD7"/>
    <w:rsid w:val="003574FE"/>
    <w:rsid w:val="00357DC8"/>
    <w:rsid w:val="003607F7"/>
    <w:rsid w:val="00360ECA"/>
    <w:rsid w:val="00361FB9"/>
    <w:rsid w:val="00362A89"/>
    <w:rsid w:val="00363987"/>
    <w:rsid w:val="00366D70"/>
    <w:rsid w:val="00370304"/>
    <w:rsid w:val="00371948"/>
    <w:rsid w:val="003721FC"/>
    <w:rsid w:val="003722A3"/>
    <w:rsid w:val="003749C2"/>
    <w:rsid w:val="0038259B"/>
    <w:rsid w:val="00385ACD"/>
    <w:rsid w:val="00385BD7"/>
    <w:rsid w:val="003871EB"/>
    <w:rsid w:val="003872AE"/>
    <w:rsid w:val="00387717"/>
    <w:rsid w:val="00391C6A"/>
    <w:rsid w:val="00392A19"/>
    <w:rsid w:val="0039479D"/>
    <w:rsid w:val="00397331"/>
    <w:rsid w:val="003A07E4"/>
    <w:rsid w:val="003A3FDC"/>
    <w:rsid w:val="003A413D"/>
    <w:rsid w:val="003A5539"/>
    <w:rsid w:val="003A59DB"/>
    <w:rsid w:val="003A71D5"/>
    <w:rsid w:val="003B0AA1"/>
    <w:rsid w:val="003B1D0C"/>
    <w:rsid w:val="003B31D8"/>
    <w:rsid w:val="003B3F0A"/>
    <w:rsid w:val="003B4057"/>
    <w:rsid w:val="003B4599"/>
    <w:rsid w:val="003B496A"/>
    <w:rsid w:val="003B6CF5"/>
    <w:rsid w:val="003B6ED1"/>
    <w:rsid w:val="003C33EA"/>
    <w:rsid w:val="003C4CD7"/>
    <w:rsid w:val="003C4EA6"/>
    <w:rsid w:val="003C72D1"/>
    <w:rsid w:val="003C7803"/>
    <w:rsid w:val="003C7931"/>
    <w:rsid w:val="003D0898"/>
    <w:rsid w:val="003D097C"/>
    <w:rsid w:val="003D0CDF"/>
    <w:rsid w:val="003D2CC3"/>
    <w:rsid w:val="003E049A"/>
    <w:rsid w:val="003E2148"/>
    <w:rsid w:val="003E2990"/>
    <w:rsid w:val="003E38F9"/>
    <w:rsid w:val="003E6195"/>
    <w:rsid w:val="003E6ED7"/>
    <w:rsid w:val="003E73B2"/>
    <w:rsid w:val="003E7CB3"/>
    <w:rsid w:val="003F34A3"/>
    <w:rsid w:val="003F65AD"/>
    <w:rsid w:val="00400592"/>
    <w:rsid w:val="00400796"/>
    <w:rsid w:val="004007B4"/>
    <w:rsid w:val="00401C95"/>
    <w:rsid w:val="00401DF0"/>
    <w:rsid w:val="00402BA1"/>
    <w:rsid w:val="00403693"/>
    <w:rsid w:val="00405864"/>
    <w:rsid w:val="00405A1F"/>
    <w:rsid w:val="00406141"/>
    <w:rsid w:val="004063E0"/>
    <w:rsid w:val="0041055E"/>
    <w:rsid w:val="00411137"/>
    <w:rsid w:val="00411BA9"/>
    <w:rsid w:val="0041248E"/>
    <w:rsid w:val="0041330E"/>
    <w:rsid w:val="00413EA5"/>
    <w:rsid w:val="004143E9"/>
    <w:rsid w:val="00420923"/>
    <w:rsid w:val="004223E9"/>
    <w:rsid w:val="004225FB"/>
    <w:rsid w:val="00423A85"/>
    <w:rsid w:val="004251BF"/>
    <w:rsid w:val="00427590"/>
    <w:rsid w:val="00431385"/>
    <w:rsid w:val="0043225D"/>
    <w:rsid w:val="00432396"/>
    <w:rsid w:val="00441938"/>
    <w:rsid w:val="00441BD4"/>
    <w:rsid w:val="00442D54"/>
    <w:rsid w:val="004436DE"/>
    <w:rsid w:val="00444F56"/>
    <w:rsid w:val="004462B9"/>
    <w:rsid w:val="00446904"/>
    <w:rsid w:val="00446A83"/>
    <w:rsid w:val="00446B8A"/>
    <w:rsid w:val="004529E9"/>
    <w:rsid w:val="00453478"/>
    <w:rsid w:val="004544A9"/>
    <w:rsid w:val="00455856"/>
    <w:rsid w:val="00456BA0"/>
    <w:rsid w:val="00456F43"/>
    <w:rsid w:val="00457179"/>
    <w:rsid w:val="0046390F"/>
    <w:rsid w:val="00463B26"/>
    <w:rsid w:val="00464303"/>
    <w:rsid w:val="00464E61"/>
    <w:rsid w:val="00465816"/>
    <w:rsid w:val="004702EB"/>
    <w:rsid w:val="004712EC"/>
    <w:rsid w:val="00471C40"/>
    <w:rsid w:val="004730CA"/>
    <w:rsid w:val="004759FC"/>
    <w:rsid w:val="00481044"/>
    <w:rsid w:val="00481467"/>
    <w:rsid w:val="00481483"/>
    <w:rsid w:val="004836A9"/>
    <w:rsid w:val="00484F63"/>
    <w:rsid w:val="00485FCF"/>
    <w:rsid w:val="004875F8"/>
    <w:rsid w:val="00487AD4"/>
    <w:rsid w:val="00490438"/>
    <w:rsid w:val="0049278C"/>
    <w:rsid w:val="00493707"/>
    <w:rsid w:val="00493B6F"/>
    <w:rsid w:val="00494ECC"/>
    <w:rsid w:val="004952A3"/>
    <w:rsid w:val="0049693B"/>
    <w:rsid w:val="004A1498"/>
    <w:rsid w:val="004A301C"/>
    <w:rsid w:val="004A3447"/>
    <w:rsid w:val="004A3CCD"/>
    <w:rsid w:val="004A4E6A"/>
    <w:rsid w:val="004A5EFB"/>
    <w:rsid w:val="004A6684"/>
    <w:rsid w:val="004A7836"/>
    <w:rsid w:val="004B304C"/>
    <w:rsid w:val="004B426D"/>
    <w:rsid w:val="004B4E76"/>
    <w:rsid w:val="004B5D27"/>
    <w:rsid w:val="004C2934"/>
    <w:rsid w:val="004C54FB"/>
    <w:rsid w:val="004C5ED1"/>
    <w:rsid w:val="004C78DA"/>
    <w:rsid w:val="004D1651"/>
    <w:rsid w:val="004D23E7"/>
    <w:rsid w:val="004D263E"/>
    <w:rsid w:val="004D30EA"/>
    <w:rsid w:val="004D322D"/>
    <w:rsid w:val="004D34D4"/>
    <w:rsid w:val="004D398C"/>
    <w:rsid w:val="004D41F5"/>
    <w:rsid w:val="004D7E07"/>
    <w:rsid w:val="004E1862"/>
    <w:rsid w:val="004E2860"/>
    <w:rsid w:val="004E65E6"/>
    <w:rsid w:val="004F2503"/>
    <w:rsid w:val="004F32D8"/>
    <w:rsid w:val="004F5976"/>
    <w:rsid w:val="004F6DBB"/>
    <w:rsid w:val="00502BE3"/>
    <w:rsid w:val="005049B8"/>
    <w:rsid w:val="005057CA"/>
    <w:rsid w:val="00505CCF"/>
    <w:rsid w:val="00507413"/>
    <w:rsid w:val="00511E1F"/>
    <w:rsid w:val="00513BB3"/>
    <w:rsid w:val="00514301"/>
    <w:rsid w:val="005145D9"/>
    <w:rsid w:val="0051666C"/>
    <w:rsid w:val="00516EB6"/>
    <w:rsid w:val="005211BF"/>
    <w:rsid w:val="00521DC6"/>
    <w:rsid w:val="0052490E"/>
    <w:rsid w:val="00525667"/>
    <w:rsid w:val="005260BB"/>
    <w:rsid w:val="0052668D"/>
    <w:rsid w:val="00527E57"/>
    <w:rsid w:val="00532475"/>
    <w:rsid w:val="00532B49"/>
    <w:rsid w:val="00534243"/>
    <w:rsid w:val="00534274"/>
    <w:rsid w:val="005343D2"/>
    <w:rsid w:val="00536635"/>
    <w:rsid w:val="00537F45"/>
    <w:rsid w:val="005402CF"/>
    <w:rsid w:val="005404A5"/>
    <w:rsid w:val="00541ED4"/>
    <w:rsid w:val="0054365A"/>
    <w:rsid w:val="005445B2"/>
    <w:rsid w:val="00545774"/>
    <w:rsid w:val="00545F76"/>
    <w:rsid w:val="005472F5"/>
    <w:rsid w:val="00552FDB"/>
    <w:rsid w:val="00554A64"/>
    <w:rsid w:val="0055634A"/>
    <w:rsid w:val="005575D3"/>
    <w:rsid w:val="00561856"/>
    <w:rsid w:val="0056300D"/>
    <w:rsid w:val="00563539"/>
    <w:rsid w:val="0056432C"/>
    <w:rsid w:val="005669A0"/>
    <w:rsid w:val="00567DC5"/>
    <w:rsid w:val="00571696"/>
    <w:rsid w:val="00571EEB"/>
    <w:rsid w:val="00572B15"/>
    <w:rsid w:val="005732C0"/>
    <w:rsid w:val="0057529F"/>
    <w:rsid w:val="0057738D"/>
    <w:rsid w:val="005801B1"/>
    <w:rsid w:val="0058035E"/>
    <w:rsid w:val="005806FE"/>
    <w:rsid w:val="005823CD"/>
    <w:rsid w:val="00582A44"/>
    <w:rsid w:val="005859ED"/>
    <w:rsid w:val="00593F13"/>
    <w:rsid w:val="005958E4"/>
    <w:rsid w:val="00596612"/>
    <w:rsid w:val="005A00E8"/>
    <w:rsid w:val="005A0ED4"/>
    <w:rsid w:val="005A1D1D"/>
    <w:rsid w:val="005A2C60"/>
    <w:rsid w:val="005A3A15"/>
    <w:rsid w:val="005A5CF6"/>
    <w:rsid w:val="005A6329"/>
    <w:rsid w:val="005B3548"/>
    <w:rsid w:val="005B354C"/>
    <w:rsid w:val="005B39BB"/>
    <w:rsid w:val="005B3FA8"/>
    <w:rsid w:val="005B4C6E"/>
    <w:rsid w:val="005B506E"/>
    <w:rsid w:val="005C23A1"/>
    <w:rsid w:val="005C253F"/>
    <w:rsid w:val="005C3C42"/>
    <w:rsid w:val="005C729C"/>
    <w:rsid w:val="005C7464"/>
    <w:rsid w:val="005D0422"/>
    <w:rsid w:val="005D1408"/>
    <w:rsid w:val="005D2620"/>
    <w:rsid w:val="005D2659"/>
    <w:rsid w:val="005D6702"/>
    <w:rsid w:val="005E1BD6"/>
    <w:rsid w:val="005E295D"/>
    <w:rsid w:val="005E4F3B"/>
    <w:rsid w:val="005E4FB6"/>
    <w:rsid w:val="005E554C"/>
    <w:rsid w:val="005E5E31"/>
    <w:rsid w:val="005E700E"/>
    <w:rsid w:val="005E79DB"/>
    <w:rsid w:val="005F0D41"/>
    <w:rsid w:val="005F1E8D"/>
    <w:rsid w:val="005F278F"/>
    <w:rsid w:val="005F39B4"/>
    <w:rsid w:val="005F40BA"/>
    <w:rsid w:val="005F4EEF"/>
    <w:rsid w:val="005F52B2"/>
    <w:rsid w:val="005F64ED"/>
    <w:rsid w:val="005F655A"/>
    <w:rsid w:val="006009C5"/>
    <w:rsid w:val="00600CD1"/>
    <w:rsid w:val="006027AD"/>
    <w:rsid w:val="00603427"/>
    <w:rsid w:val="006035EB"/>
    <w:rsid w:val="00603949"/>
    <w:rsid w:val="00604017"/>
    <w:rsid w:val="00605C3C"/>
    <w:rsid w:val="00605C5C"/>
    <w:rsid w:val="00605CB4"/>
    <w:rsid w:val="006070C5"/>
    <w:rsid w:val="00607CE7"/>
    <w:rsid w:val="0061065B"/>
    <w:rsid w:val="00610EC2"/>
    <w:rsid w:val="00612014"/>
    <w:rsid w:val="00615C9B"/>
    <w:rsid w:val="0062200E"/>
    <w:rsid w:val="00625EFA"/>
    <w:rsid w:val="006262BE"/>
    <w:rsid w:val="0062774A"/>
    <w:rsid w:val="006302DF"/>
    <w:rsid w:val="006324E5"/>
    <w:rsid w:val="00632761"/>
    <w:rsid w:val="00632C49"/>
    <w:rsid w:val="006341BA"/>
    <w:rsid w:val="00634DFC"/>
    <w:rsid w:val="0063501E"/>
    <w:rsid w:val="006371D7"/>
    <w:rsid w:val="006400BD"/>
    <w:rsid w:val="00641D8D"/>
    <w:rsid w:val="00641D99"/>
    <w:rsid w:val="0064380F"/>
    <w:rsid w:val="00645AE9"/>
    <w:rsid w:val="00645B02"/>
    <w:rsid w:val="00647107"/>
    <w:rsid w:val="006474E0"/>
    <w:rsid w:val="0064765E"/>
    <w:rsid w:val="006500AF"/>
    <w:rsid w:val="00650992"/>
    <w:rsid w:val="00650DDE"/>
    <w:rsid w:val="006514C6"/>
    <w:rsid w:val="00651A50"/>
    <w:rsid w:val="00653C81"/>
    <w:rsid w:val="00655EB2"/>
    <w:rsid w:val="00661FCC"/>
    <w:rsid w:val="006622AC"/>
    <w:rsid w:val="0067601E"/>
    <w:rsid w:val="0068001F"/>
    <w:rsid w:val="00681784"/>
    <w:rsid w:val="00685C24"/>
    <w:rsid w:val="006861A4"/>
    <w:rsid w:val="006932F2"/>
    <w:rsid w:val="00693F7E"/>
    <w:rsid w:val="00696140"/>
    <w:rsid w:val="006962BB"/>
    <w:rsid w:val="00696DDE"/>
    <w:rsid w:val="006A0DE6"/>
    <w:rsid w:val="006A28D8"/>
    <w:rsid w:val="006A2D3B"/>
    <w:rsid w:val="006A33CB"/>
    <w:rsid w:val="006A4142"/>
    <w:rsid w:val="006A4348"/>
    <w:rsid w:val="006A7592"/>
    <w:rsid w:val="006B0386"/>
    <w:rsid w:val="006B1867"/>
    <w:rsid w:val="006B309C"/>
    <w:rsid w:val="006B3170"/>
    <w:rsid w:val="006B31CF"/>
    <w:rsid w:val="006B6657"/>
    <w:rsid w:val="006B7B50"/>
    <w:rsid w:val="006C2DAF"/>
    <w:rsid w:val="006C4404"/>
    <w:rsid w:val="006C4507"/>
    <w:rsid w:val="006C4A79"/>
    <w:rsid w:val="006C516B"/>
    <w:rsid w:val="006C6353"/>
    <w:rsid w:val="006C7845"/>
    <w:rsid w:val="006D1FFB"/>
    <w:rsid w:val="006D49B8"/>
    <w:rsid w:val="006E03DF"/>
    <w:rsid w:val="006E102C"/>
    <w:rsid w:val="006E1DA6"/>
    <w:rsid w:val="006E27CB"/>
    <w:rsid w:val="006E5104"/>
    <w:rsid w:val="006E6420"/>
    <w:rsid w:val="006E7640"/>
    <w:rsid w:val="006E7F58"/>
    <w:rsid w:val="006F00A1"/>
    <w:rsid w:val="006F152D"/>
    <w:rsid w:val="006F380A"/>
    <w:rsid w:val="006F39E4"/>
    <w:rsid w:val="006F64F1"/>
    <w:rsid w:val="006F6B75"/>
    <w:rsid w:val="006F74F8"/>
    <w:rsid w:val="00700CE5"/>
    <w:rsid w:val="00700D52"/>
    <w:rsid w:val="00703E0B"/>
    <w:rsid w:val="0070454A"/>
    <w:rsid w:val="00704847"/>
    <w:rsid w:val="0071211E"/>
    <w:rsid w:val="00715816"/>
    <w:rsid w:val="00717ACB"/>
    <w:rsid w:val="007203EA"/>
    <w:rsid w:val="00720E64"/>
    <w:rsid w:val="00721A80"/>
    <w:rsid w:val="007246E5"/>
    <w:rsid w:val="0072573A"/>
    <w:rsid w:val="0072673A"/>
    <w:rsid w:val="00730979"/>
    <w:rsid w:val="00730BDA"/>
    <w:rsid w:val="00731564"/>
    <w:rsid w:val="0073192C"/>
    <w:rsid w:val="00731E84"/>
    <w:rsid w:val="00732229"/>
    <w:rsid w:val="00732E5D"/>
    <w:rsid w:val="00734368"/>
    <w:rsid w:val="007343BC"/>
    <w:rsid w:val="00735AC6"/>
    <w:rsid w:val="00736410"/>
    <w:rsid w:val="00736EA9"/>
    <w:rsid w:val="00742546"/>
    <w:rsid w:val="00743608"/>
    <w:rsid w:val="00744C5C"/>
    <w:rsid w:val="00744F3D"/>
    <w:rsid w:val="007450D4"/>
    <w:rsid w:val="00745890"/>
    <w:rsid w:val="0074670C"/>
    <w:rsid w:val="0074728F"/>
    <w:rsid w:val="0075067E"/>
    <w:rsid w:val="007514A6"/>
    <w:rsid w:val="007524BB"/>
    <w:rsid w:val="00753108"/>
    <w:rsid w:val="007532C3"/>
    <w:rsid w:val="00753B1E"/>
    <w:rsid w:val="00754DFC"/>
    <w:rsid w:val="00754EC2"/>
    <w:rsid w:val="00755B1E"/>
    <w:rsid w:val="007569E2"/>
    <w:rsid w:val="00756F9F"/>
    <w:rsid w:val="00757138"/>
    <w:rsid w:val="00757880"/>
    <w:rsid w:val="007578F7"/>
    <w:rsid w:val="00760600"/>
    <w:rsid w:val="00763D85"/>
    <w:rsid w:val="00765E2B"/>
    <w:rsid w:val="00767BD0"/>
    <w:rsid w:val="00770B4F"/>
    <w:rsid w:val="00771D17"/>
    <w:rsid w:val="00774F65"/>
    <w:rsid w:val="00775A92"/>
    <w:rsid w:val="00780192"/>
    <w:rsid w:val="00781035"/>
    <w:rsid w:val="00781781"/>
    <w:rsid w:val="00782340"/>
    <w:rsid w:val="0078394F"/>
    <w:rsid w:val="00785E7A"/>
    <w:rsid w:val="00786439"/>
    <w:rsid w:val="007953F6"/>
    <w:rsid w:val="00795EFE"/>
    <w:rsid w:val="00795F68"/>
    <w:rsid w:val="00797248"/>
    <w:rsid w:val="0079775A"/>
    <w:rsid w:val="00797B1E"/>
    <w:rsid w:val="007A1295"/>
    <w:rsid w:val="007A2F4D"/>
    <w:rsid w:val="007A327D"/>
    <w:rsid w:val="007A4095"/>
    <w:rsid w:val="007A4911"/>
    <w:rsid w:val="007A6902"/>
    <w:rsid w:val="007A6B97"/>
    <w:rsid w:val="007A6F20"/>
    <w:rsid w:val="007A7B6A"/>
    <w:rsid w:val="007A7FA8"/>
    <w:rsid w:val="007B0626"/>
    <w:rsid w:val="007B0A7A"/>
    <w:rsid w:val="007B0D4B"/>
    <w:rsid w:val="007B2C8B"/>
    <w:rsid w:val="007B50BF"/>
    <w:rsid w:val="007B58E2"/>
    <w:rsid w:val="007B5E5D"/>
    <w:rsid w:val="007C115A"/>
    <w:rsid w:val="007C1628"/>
    <w:rsid w:val="007C20DD"/>
    <w:rsid w:val="007C5A1D"/>
    <w:rsid w:val="007C5DDA"/>
    <w:rsid w:val="007D0291"/>
    <w:rsid w:val="007D0B6D"/>
    <w:rsid w:val="007D0E14"/>
    <w:rsid w:val="007D1105"/>
    <w:rsid w:val="007D21F7"/>
    <w:rsid w:val="007D2C32"/>
    <w:rsid w:val="007D3A26"/>
    <w:rsid w:val="007D41FE"/>
    <w:rsid w:val="007D6105"/>
    <w:rsid w:val="007D7AA0"/>
    <w:rsid w:val="007E0D37"/>
    <w:rsid w:val="007E16CF"/>
    <w:rsid w:val="007E4DFF"/>
    <w:rsid w:val="007E5215"/>
    <w:rsid w:val="007E6BE2"/>
    <w:rsid w:val="007F000E"/>
    <w:rsid w:val="007F3341"/>
    <w:rsid w:val="007F3A3E"/>
    <w:rsid w:val="007F4018"/>
    <w:rsid w:val="007F673B"/>
    <w:rsid w:val="007F7080"/>
    <w:rsid w:val="007F71B6"/>
    <w:rsid w:val="008029B1"/>
    <w:rsid w:val="0080342F"/>
    <w:rsid w:val="0080411E"/>
    <w:rsid w:val="008049D6"/>
    <w:rsid w:val="00805307"/>
    <w:rsid w:val="00811693"/>
    <w:rsid w:val="00811771"/>
    <w:rsid w:val="008149B4"/>
    <w:rsid w:val="00814CE7"/>
    <w:rsid w:val="008170A9"/>
    <w:rsid w:val="0082081D"/>
    <w:rsid w:val="00822181"/>
    <w:rsid w:val="00831737"/>
    <w:rsid w:val="008325BD"/>
    <w:rsid w:val="0083311F"/>
    <w:rsid w:val="00833B96"/>
    <w:rsid w:val="008340CF"/>
    <w:rsid w:val="00834BA7"/>
    <w:rsid w:val="00836C5F"/>
    <w:rsid w:val="00841968"/>
    <w:rsid w:val="00841EC5"/>
    <w:rsid w:val="008420B9"/>
    <w:rsid w:val="008437AE"/>
    <w:rsid w:val="0084524A"/>
    <w:rsid w:val="008458AB"/>
    <w:rsid w:val="0084592A"/>
    <w:rsid w:val="008469F9"/>
    <w:rsid w:val="00847F60"/>
    <w:rsid w:val="00851A1A"/>
    <w:rsid w:val="00852D78"/>
    <w:rsid w:val="0086004B"/>
    <w:rsid w:val="00861669"/>
    <w:rsid w:val="00861B0F"/>
    <w:rsid w:val="00862007"/>
    <w:rsid w:val="00862618"/>
    <w:rsid w:val="00863F5E"/>
    <w:rsid w:val="008653FF"/>
    <w:rsid w:val="00865806"/>
    <w:rsid w:val="00865C49"/>
    <w:rsid w:val="00867C61"/>
    <w:rsid w:val="00872AF6"/>
    <w:rsid w:val="00872C6D"/>
    <w:rsid w:val="00873B81"/>
    <w:rsid w:val="008741AD"/>
    <w:rsid w:val="00874B17"/>
    <w:rsid w:val="008752A0"/>
    <w:rsid w:val="00875D86"/>
    <w:rsid w:val="008764F5"/>
    <w:rsid w:val="0088019B"/>
    <w:rsid w:val="00882186"/>
    <w:rsid w:val="008837A7"/>
    <w:rsid w:val="00883E5C"/>
    <w:rsid w:val="00884058"/>
    <w:rsid w:val="00884A8A"/>
    <w:rsid w:val="00884B78"/>
    <w:rsid w:val="008866FB"/>
    <w:rsid w:val="00890F55"/>
    <w:rsid w:val="008910F0"/>
    <w:rsid w:val="008912E5"/>
    <w:rsid w:val="00891305"/>
    <w:rsid w:val="00891A22"/>
    <w:rsid w:val="0089303A"/>
    <w:rsid w:val="00893E9F"/>
    <w:rsid w:val="008946CB"/>
    <w:rsid w:val="00895129"/>
    <w:rsid w:val="008957F6"/>
    <w:rsid w:val="00895A5A"/>
    <w:rsid w:val="008960F4"/>
    <w:rsid w:val="00896269"/>
    <w:rsid w:val="00896497"/>
    <w:rsid w:val="008A21B9"/>
    <w:rsid w:val="008A2E7E"/>
    <w:rsid w:val="008A33B6"/>
    <w:rsid w:val="008A3F6E"/>
    <w:rsid w:val="008A4AD9"/>
    <w:rsid w:val="008A4FAD"/>
    <w:rsid w:val="008A6CBE"/>
    <w:rsid w:val="008A762A"/>
    <w:rsid w:val="008B172B"/>
    <w:rsid w:val="008B22FC"/>
    <w:rsid w:val="008B2F71"/>
    <w:rsid w:val="008B3BD5"/>
    <w:rsid w:val="008B3D8F"/>
    <w:rsid w:val="008B3FC3"/>
    <w:rsid w:val="008C35C9"/>
    <w:rsid w:val="008C4D25"/>
    <w:rsid w:val="008C645E"/>
    <w:rsid w:val="008C6AB4"/>
    <w:rsid w:val="008C6BC1"/>
    <w:rsid w:val="008C7363"/>
    <w:rsid w:val="008D1D52"/>
    <w:rsid w:val="008D24BE"/>
    <w:rsid w:val="008D270F"/>
    <w:rsid w:val="008D40C5"/>
    <w:rsid w:val="008D49E4"/>
    <w:rsid w:val="008D55F0"/>
    <w:rsid w:val="008E37B5"/>
    <w:rsid w:val="008E4582"/>
    <w:rsid w:val="008E5D40"/>
    <w:rsid w:val="008E7A7D"/>
    <w:rsid w:val="008F07B6"/>
    <w:rsid w:val="008F2791"/>
    <w:rsid w:val="008F4C7F"/>
    <w:rsid w:val="008F54F6"/>
    <w:rsid w:val="008F5EC7"/>
    <w:rsid w:val="008F7587"/>
    <w:rsid w:val="008F75A4"/>
    <w:rsid w:val="008F7646"/>
    <w:rsid w:val="00900B0A"/>
    <w:rsid w:val="00901259"/>
    <w:rsid w:val="009014C9"/>
    <w:rsid w:val="00901DD0"/>
    <w:rsid w:val="0090240A"/>
    <w:rsid w:val="00902C18"/>
    <w:rsid w:val="009031C0"/>
    <w:rsid w:val="00903BFA"/>
    <w:rsid w:val="00905B4C"/>
    <w:rsid w:val="00906F49"/>
    <w:rsid w:val="0090712E"/>
    <w:rsid w:val="00907419"/>
    <w:rsid w:val="00913A16"/>
    <w:rsid w:val="0092052C"/>
    <w:rsid w:val="00921371"/>
    <w:rsid w:val="00922C8A"/>
    <w:rsid w:val="00923C54"/>
    <w:rsid w:val="0092646C"/>
    <w:rsid w:val="00927B8B"/>
    <w:rsid w:val="00931027"/>
    <w:rsid w:val="00932272"/>
    <w:rsid w:val="00932555"/>
    <w:rsid w:val="00933DEA"/>
    <w:rsid w:val="0093453F"/>
    <w:rsid w:val="00935838"/>
    <w:rsid w:val="00940FAD"/>
    <w:rsid w:val="00941BB6"/>
    <w:rsid w:val="00941F78"/>
    <w:rsid w:val="00942848"/>
    <w:rsid w:val="0094344B"/>
    <w:rsid w:val="0094633D"/>
    <w:rsid w:val="009468C8"/>
    <w:rsid w:val="00947B7C"/>
    <w:rsid w:val="009509FB"/>
    <w:rsid w:val="00950ED4"/>
    <w:rsid w:val="00951887"/>
    <w:rsid w:val="00954E91"/>
    <w:rsid w:val="00955B44"/>
    <w:rsid w:val="00956D8E"/>
    <w:rsid w:val="009605CF"/>
    <w:rsid w:val="00961696"/>
    <w:rsid w:val="009642D2"/>
    <w:rsid w:val="00964E3A"/>
    <w:rsid w:val="0096526D"/>
    <w:rsid w:val="00965BB0"/>
    <w:rsid w:val="00975FE8"/>
    <w:rsid w:val="00980474"/>
    <w:rsid w:val="00980959"/>
    <w:rsid w:val="00983033"/>
    <w:rsid w:val="009837D5"/>
    <w:rsid w:val="0098703A"/>
    <w:rsid w:val="009879C2"/>
    <w:rsid w:val="00990BC3"/>
    <w:rsid w:val="00990E5A"/>
    <w:rsid w:val="00991F28"/>
    <w:rsid w:val="00993ABF"/>
    <w:rsid w:val="0099586B"/>
    <w:rsid w:val="00995C32"/>
    <w:rsid w:val="009960F1"/>
    <w:rsid w:val="00996F74"/>
    <w:rsid w:val="0099761E"/>
    <w:rsid w:val="00997B4A"/>
    <w:rsid w:val="009A0141"/>
    <w:rsid w:val="009A05A8"/>
    <w:rsid w:val="009A07D3"/>
    <w:rsid w:val="009A0A9D"/>
    <w:rsid w:val="009A41E3"/>
    <w:rsid w:val="009A6026"/>
    <w:rsid w:val="009B54DC"/>
    <w:rsid w:val="009B5669"/>
    <w:rsid w:val="009B6192"/>
    <w:rsid w:val="009B62D4"/>
    <w:rsid w:val="009C03CE"/>
    <w:rsid w:val="009C0CEB"/>
    <w:rsid w:val="009C57FC"/>
    <w:rsid w:val="009C5A5F"/>
    <w:rsid w:val="009C5CD2"/>
    <w:rsid w:val="009D0C1E"/>
    <w:rsid w:val="009D6337"/>
    <w:rsid w:val="009E264C"/>
    <w:rsid w:val="009E372F"/>
    <w:rsid w:val="009E3DAA"/>
    <w:rsid w:val="009E40D1"/>
    <w:rsid w:val="009E4AD1"/>
    <w:rsid w:val="009F10C0"/>
    <w:rsid w:val="009F119F"/>
    <w:rsid w:val="009F3627"/>
    <w:rsid w:val="009F3E56"/>
    <w:rsid w:val="009F40B7"/>
    <w:rsid w:val="009F4AEC"/>
    <w:rsid w:val="009F57B5"/>
    <w:rsid w:val="009F631A"/>
    <w:rsid w:val="009F6C66"/>
    <w:rsid w:val="009F761F"/>
    <w:rsid w:val="009F7FD1"/>
    <w:rsid w:val="00A00113"/>
    <w:rsid w:val="00A01049"/>
    <w:rsid w:val="00A02D5C"/>
    <w:rsid w:val="00A0303B"/>
    <w:rsid w:val="00A07771"/>
    <w:rsid w:val="00A07C56"/>
    <w:rsid w:val="00A1102B"/>
    <w:rsid w:val="00A13F90"/>
    <w:rsid w:val="00A14745"/>
    <w:rsid w:val="00A176B1"/>
    <w:rsid w:val="00A22220"/>
    <w:rsid w:val="00A22E44"/>
    <w:rsid w:val="00A27D36"/>
    <w:rsid w:val="00A30816"/>
    <w:rsid w:val="00A31D3C"/>
    <w:rsid w:val="00A3266E"/>
    <w:rsid w:val="00A32E84"/>
    <w:rsid w:val="00A35714"/>
    <w:rsid w:val="00A35D19"/>
    <w:rsid w:val="00A40600"/>
    <w:rsid w:val="00A409DA"/>
    <w:rsid w:val="00A41EE9"/>
    <w:rsid w:val="00A42569"/>
    <w:rsid w:val="00A466C8"/>
    <w:rsid w:val="00A46A60"/>
    <w:rsid w:val="00A5128F"/>
    <w:rsid w:val="00A5136B"/>
    <w:rsid w:val="00A52C75"/>
    <w:rsid w:val="00A53384"/>
    <w:rsid w:val="00A535BF"/>
    <w:rsid w:val="00A53CC9"/>
    <w:rsid w:val="00A54BF3"/>
    <w:rsid w:val="00A54D4F"/>
    <w:rsid w:val="00A5523B"/>
    <w:rsid w:val="00A563C0"/>
    <w:rsid w:val="00A569E6"/>
    <w:rsid w:val="00A61CF1"/>
    <w:rsid w:val="00A63687"/>
    <w:rsid w:val="00A63E16"/>
    <w:rsid w:val="00A6547C"/>
    <w:rsid w:val="00A6625D"/>
    <w:rsid w:val="00A66D08"/>
    <w:rsid w:val="00A6722E"/>
    <w:rsid w:val="00A67918"/>
    <w:rsid w:val="00A7074F"/>
    <w:rsid w:val="00A71439"/>
    <w:rsid w:val="00A71CF4"/>
    <w:rsid w:val="00A71D0B"/>
    <w:rsid w:val="00A744CB"/>
    <w:rsid w:val="00A7505B"/>
    <w:rsid w:val="00A7512D"/>
    <w:rsid w:val="00A753BD"/>
    <w:rsid w:val="00A75759"/>
    <w:rsid w:val="00A75A06"/>
    <w:rsid w:val="00A7741E"/>
    <w:rsid w:val="00A776E1"/>
    <w:rsid w:val="00A809D7"/>
    <w:rsid w:val="00A84271"/>
    <w:rsid w:val="00A85930"/>
    <w:rsid w:val="00A907FF"/>
    <w:rsid w:val="00A91CDA"/>
    <w:rsid w:val="00A9396A"/>
    <w:rsid w:val="00A948C4"/>
    <w:rsid w:val="00A95B44"/>
    <w:rsid w:val="00A9753F"/>
    <w:rsid w:val="00AA0C01"/>
    <w:rsid w:val="00AA103E"/>
    <w:rsid w:val="00AA2E43"/>
    <w:rsid w:val="00AA4E46"/>
    <w:rsid w:val="00AA5A45"/>
    <w:rsid w:val="00AA7F9A"/>
    <w:rsid w:val="00AB006D"/>
    <w:rsid w:val="00AB0BF5"/>
    <w:rsid w:val="00AB0EB2"/>
    <w:rsid w:val="00AB16A9"/>
    <w:rsid w:val="00AB3D28"/>
    <w:rsid w:val="00AB4BC0"/>
    <w:rsid w:val="00AB5252"/>
    <w:rsid w:val="00AB735A"/>
    <w:rsid w:val="00AB74E6"/>
    <w:rsid w:val="00AC154F"/>
    <w:rsid w:val="00AC1E35"/>
    <w:rsid w:val="00AC55B5"/>
    <w:rsid w:val="00AC7FFC"/>
    <w:rsid w:val="00AD161A"/>
    <w:rsid w:val="00AD18DC"/>
    <w:rsid w:val="00AD196B"/>
    <w:rsid w:val="00AD21DD"/>
    <w:rsid w:val="00AE2BF9"/>
    <w:rsid w:val="00AE4CBD"/>
    <w:rsid w:val="00AE75DD"/>
    <w:rsid w:val="00AE7852"/>
    <w:rsid w:val="00AF2C13"/>
    <w:rsid w:val="00AF2FE6"/>
    <w:rsid w:val="00AF4A81"/>
    <w:rsid w:val="00AF53F9"/>
    <w:rsid w:val="00AF63D8"/>
    <w:rsid w:val="00B04A36"/>
    <w:rsid w:val="00B05226"/>
    <w:rsid w:val="00B0607B"/>
    <w:rsid w:val="00B06D83"/>
    <w:rsid w:val="00B07D1A"/>
    <w:rsid w:val="00B07DCA"/>
    <w:rsid w:val="00B1041A"/>
    <w:rsid w:val="00B1098B"/>
    <w:rsid w:val="00B162A2"/>
    <w:rsid w:val="00B16358"/>
    <w:rsid w:val="00B16447"/>
    <w:rsid w:val="00B1671B"/>
    <w:rsid w:val="00B1704D"/>
    <w:rsid w:val="00B1738F"/>
    <w:rsid w:val="00B17E58"/>
    <w:rsid w:val="00B224F3"/>
    <w:rsid w:val="00B2399A"/>
    <w:rsid w:val="00B24689"/>
    <w:rsid w:val="00B25AA6"/>
    <w:rsid w:val="00B25CBB"/>
    <w:rsid w:val="00B26431"/>
    <w:rsid w:val="00B273F0"/>
    <w:rsid w:val="00B27A04"/>
    <w:rsid w:val="00B31AF1"/>
    <w:rsid w:val="00B33FFB"/>
    <w:rsid w:val="00B34045"/>
    <w:rsid w:val="00B34DEA"/>
    <w:rsid w:val="00B36CD2"/>
    <w:rsid w:val="00B375C7"/>
    <w:rsid w:val="00B402A7"/>
    <w:rsid w:val="00B41F9F"/>
    <w:rsid w:val="00B4548A"/>
    <w:rsid w:val="00B50AEC"/>
    <w:rsid w:val="00B51214"/>
    <w:rsid w:val="00B54E93"/>
    <w:rsid w:val="00B5534A"/>
    <w:rsid w:val="00B5577F"/>
    <w:rsid w:val="00B56412"/>
    <w:rsid w:val="00B574D7"/>
    <w:rsid w:val="00B604FE"/>
    <w:rsid w:val="00B61C43"/>
    <w:rsid w:val="00B656EC"/>
    <w:rsid w:val="00B711AF"/>
    <w:rsid w:val="00B7395E"/>
    <w:rsid w:val="00B74533"/>
    <w:rsid w:val="00B7455E"/>
    <w:rsid w:val="00B756BA"/>
    <w:rsid w:val="00B81AA8"/>
    <w:rsid w:val="00B84CCA"/>
    <w:rsid w:val="00B85292"/>
    <w:rsid w:val="00B85319"/>
    <w:rsid w:val="00B8706C"/>
    <w:rsid w:val="00B870FF"/>
    <w:rsid w:val="00B921B0"/>
    <w:rsid w:val="00B956A7"/>
    <w:rsid w:val="00B96D23"/>
    <w:rsid w:val="00B9708C"/>
    <w:rsid w:val="00BA13AF"/>
    <w:rsid w:val="00BA6588"/>
    <w:rsid w:val="00BA7ADF"/>
    <w:rsid w:val="00BB0AE7"/>
    <w:rsid w:val="00BB5733"/>
    <w:rsid w:val="00BB60B0"/>
    <w:rsid w:val="00BB6C8F"/>
    <w:rsid w:val="00BB740D"/>
    <w:rsid w:val="00BC0FC3"/>
    <w:rsid w:val="00BC15D9"/>
    <w:rsid w:val="00BC2115"/>
    <w:rsid w:val="00BC2655"/>
    <w:rsid w:val="00BC2A07"/>
    <w:rsid w:val="00BC2A26"/>
    <w:rsid w:val="00BC706E"/>
    <w:rsid w:val="00BD0EB1"/>
    <w:rsid w:val="00BD1D1C"/>
    <w:rsid w:val="00BD1E00"/>
    <w:rsid w:val="00BD2659"/>
    <w:rsid w:val="00BD4357"/>
    <w:rsid w:val="00BD6764"/>
    <w:rsid w:val="00BD71C6"/>
    <w:rsid w:val="00BE0543"/>
    <w:rsid w:val="00BE10A0"/>
    <w:rsid w:val="00BE237C"/>
    <w:rsid w:val="00BE23B4"/>
    <w:rsid w:val="00BE24BC"/>
    <w:rsid w:val="00BE5F40"/>
    <w:rsid w:val="00BE7207"/>
    <w:rsid w:val="00BF2E2C"/>
    <w:rsid w:val="00BF4269"/>
    <w:rsid w:val="00BF6EF8"/>
    <w:rsid w:val="00BF74A7"/>
    <w:rsid w:val="00C00811"/>
    <w:rsid w:val="00C01B4B"/>
    <w:rsid w:val="00C05610"/>
    <w:rsid w:val="00C07CA0"/>
    <w:rsid w:val="00C12594"/>
    <w:rsid w:val="00C16209"/>
    <w:rsid w:val="00C1684F"/>
    <w:rsid w:val="00C17CCC"/>
    <w:rsid w:val="00C20DAA"/>
    <w:rsid w:val="00C220CE"/>
    <w:rsid w:val="00C22CA5"/>
    <w:rsid w:val="00C23B4A"/>
    <w:rsid w:val="00C26025"/>
    <w:rsid w:val="00C2668F"/>
    <w:rsid w:val="00C26A8C"/>
    <w:rsid w:val="00C27649"/>
    <w:rsid w:val="00C333A5"/>
    <w:rsid w:val="00C347BA"/>
    <w:rsid w:val="00C35B46"/>
    <w:rsid w:val="00C37286"/>
    <w:rsid w:val="00C433D0"/>
    <w:rsid w:val="00C43433"/>
    <w:rsid w:val="00C43728"/>
    <w:rsid w:val="00C45054"/>
    <w:rsid w:val="00C475CD"/>
    <w:rsid w:val="00C51218"/>
    <w:rsid w:val="00C55720"/>
    <w:rsid w:val="00C57DCA"/>
    <w:rsid w:val="00C60FEE"/>
    <w:rsid w:val="00C63188"/>
    <w:rsid w:val="00C6381B"/>
    <w:rsid w:val="00C6430F"/>
    <w:rsid w:val="00C65440"/>
    <w:rsid w:val="00C6581B"/>
    <w:rsid w:val="00C6609C"/>
    <w:rsid w:val="00C6709D"/>
    <w:rsid w:val="00C70E97"/>
    <w:rsid w:val="00C73EE3"/>
    <w:rsid w:val="00C765FA"/>
    <w:rsid w:val="00C76610"/>
    <w:rsid w:val="00C76D65"/>
    <w:rsid w:val="00C80EC5"/>
    <w:rsid w:val="00C826EA"/>
    <w:rsid w:val="00C84267"/>
    <w:rsid w:val="00C84E73"/>
    <w:rsid w:val="00C851F8"/>
    <w:rsid w:val="00C86354"/>
    <w:rsid w:val="00C8692B"/>
    <w:rsid w:val="00C86D92"/>
    <w:rsid w:val="00C906B6"/>
    <w:rsid w:val="00C90C90"/>
    <w:rsid w:val="00C91399"/>
    <w:rsid w:val="00C92AE3"/>
    <w:rsid w:val="00C939A3"/>
    <w:rsid w:val="00C94306"/>
    <w:rsid w:val="00C95B6D"/>
    <w:rsid w:val="00C963FD"/>
    <w:rsid w:val="00C971D2"/>
    <w:rsid w:val="00CA022F"/>
    <w:rsid w:val="00CA03A5"/>
    <w:rsid w:val="00CA1E1A"/>
    <w:rsid w:val="00CA470E"/>
    <w:rsid w:val="00CB005D"/>
    <w:rsid w:val="00CB21A9"/>
    <w:rsid w:val="00CB74B3"/>
    <w:rsid w:val="00CC025A"/>
    <w:rsid w:val="00CC1DF2"/>
    <w:rsid w:val="00CC4810"/>
    <w:rsid w:val="00CC56F9"/>
    <w:rsid w:val="00CC6EA8"/>
    <w:rsid w:val="00CC7209"/>
    <w:rsid w:val="00CD03E9"/>
    <w:rsid w:val="00CD10D9"/>
    <w:rsid w:val="00CD1499"/>
    <w:rsid w:val="00CD1673"/>
    <w:rsid w:val="00CD1B02"/>
    <w:rsid w:val="00CD222E"/>
    <w:rsid w:val="00CD2C39"/>
    <w:rsid w:val="00CD34C3"/>
    <w:rsid w:val="00CD5944"/>
    <w:rsid w:val="00CD5FB3"/>
    <w:rsid w:val="00CD699C"/>
    <w:rsid w:val="00CD6E0E"/>
    <w:rsid w:val="00CD7914"/>
    <w:rsid w:val="00CD7EE1"/>
    <w:rsid w:val="00CE2E6C"/>
    <w:rsid w:val="00CE4CA7"/>
    <w:rsid w:val="00CE57AE"/>
    <w:rsid w:val="00CE6091"/>
    <w:rsid w:val="00CE7F17"/>
    <w:rsid w:val="00CE7F8C"/>
    <w:rsid w:val="00CF29F9"/>
    <w:rsid w:val="00CF3F01"/>
    <w:rsid w:val="00CF5902"/>
    <w:rsid w:val="00CF5A37"/>
    <w:rsid w:val="00CF7511"/>
    <w:rsid w:val="00D00030"/>
    <w:rsid w:val="00D02E97"/>
    <w:rsid w:val="00D04DEE"/>
    <w:rsid w:val="00D06A79"/>
    <w:rsid w:val="00D07AAC"/>
    <w:rsid w:val="00D07CF5"/>
    <w:rsid w:val="00D13D35"/>
    <w:rsid w:val="00D1433A"/>
    <w:rsid w:val="00D14378"/>
    <w:rsid w:val="00D168E0"/>
    <w:rsid w:val="00D17173"/>
    <w:rsid w:val="00D176EA"/>
    <w:rsid w:val="00D234CD"/>
    <w:rsid w:val="00D251DB"/>
    <w:rsid w:val="00D2707C"/>
    <w:rsid w:val="00D27558"/>
    <w:rsid w:val="00D31342"/>
    <w:rsid w:val="00D319DB"/>
    <w:rsid w:val="00D31FBF"/>
    <w:rsid w:val="00D33EF8"/>
    <w:rsid w:val="00D35E57"/>
    <w:rsid w:val="00D407B9"/>
    <w:rsid w:val="00D40888"/>
    <w:rsid w:val="00D418BD"/>
    <w:rsid w:val="00D41F3F"/>
    <w:rsid w:val="00D42E89"/>
    <w:rsid w:val="00D4378C"/>
    <w:rsid w:val="00D438A5"/>
    <w:rsid w:val="00D46906"/>
    <w:rsid w:val="00D474CF"/>
    <w:rsid w:val="00D47579"/>
    <w:rsid w:val="00D47943"/>
    <w:rsid w:val="00D50B61"/>
    <w:rsid w:val="00D50FD2"/>
    <w:rsid w:val="00D56A1A"/>
    <w:rsid w:val="00D56F93"/>
    <w:rsid w:val="00D57570"/>
    <w:rsid w:val="00D603CD"/>
    <w:rsid w:val="00D61257"/>
    <w:rsid w:val="00D6237A"/>
    <w:rsid w:val="00D6445B"/>
    <w:rsid w:val="00D64E57"/>
    <w:rsid w:val="00D71A1F"/>
    <w:rsid w:val="00D71DBE"/>
    <w:rsid w:val="00D73782"/>
    <w:rsid w:val="00D7379D"/>
    <w:rsid w:val="00D75182"/>
    <w:rsid w:val="00D763E0"/>
    <w:rsid w:val="00D76626"/>
    <w:rsid w:val="00D7751C"/>
    <w:rsid w:val="00D77D11"/>
    <w:rsid w:val="00D80934"/>
    <w:rsid w:val="00D8180B"/>
    <w:rsid w:val="00D82902"/>
    <w:rsid w:val="00D8461B"/>
    <w:rsid w:val="00D8481D"/>
    <w:rsid w:val="00D858A9"/>
    <w:rsid w:val="00D863A3"/>
    <w:rsid w:val="00D87BB7"/>
    <w:rsid w:val="00D87BFC"/>
    <w:rsid w:val="00D91F1C"/>
    <w:rsid w:val="00D9213B"/>
    <w:rsid w:val="00D957A3"/>
    <w:rsid w:val="00D9623F"/>
    <w:rsid w:val="00D97078"/>
    <w:rsid w:val="00DA033A"/>
    <w:rsid w:val="00DA0F93"/>
    <w:rsid w:val="00DA2221"/>
    <w:rsid w:val="00DA3534"/>
    <w:rsid w:val="00DA547D"/>
    <w:rsid w:val="00DA6798"/>
    <w:rsid w:val="00DA6B10"/>
    <w:rsid w:val="00DB0217"/>
    <w:rsid w:val="00DB0AEA"/>
    <w:rsid w:val="00DB36BF"/>
    <w:rsid w:val="00DB4180"/>
    <w:rsid w:val="00DB418A"/>
    <w:rsid w:val="00DB4D64"/>
    <w:rsid w:val="00DB59C1"/>
    <w:rsid w:val="00DB614C"/>
    <w:rsid w:val="00DB7DDA"/>
    <w:rsid w:val="00DC0758"/>
    <w:rsid w:val="00DC075F"/>
    <w:rsid w:val="00DC6504"/>
    <w:rsid w:val="00DC6BDF"/>
    <w:rsid w:val="00DD08B8"/>
    <w:rsid w:val="00DD2BD8"/>
    <w:rsid w:val="00DD3E25"/>
    <w:rsid w:val="00DD4A2A"/>
    <w:rsid w:val="00DD4B97"/>
    <w:rsid w:val="00DD584A"/>
    <w:rsid w:val="00DD5AB7"/>
    <w:rsid w:val="00DD6232"/>
    <w:rsid w:val="00DD74F2"/>
    <w:rsid w:val="00DE098A"/>
    <w:rsid w:val="00DE1CF6"/>
    <w:rsid w:val="00DE3189"/>
    <w:rsid w:val="00DE421A"/>
    <w:rsid w:val="00DE5478"/>
    <w:rsid w:val="00DE627C"/>
    <w:rsid w:val="00DE7546"/>
    <w:rsid w:val="00DE7A26"/>
    <w:rsid w:val="00DE7E1C"/>
    <w:rsid w:val="00DF0A7D"/>
    <w:rsid w:val="00DF0B3E"/>
    <w:rsid w:val="00DF3644"/>
    <w:rsid w:val="00DF3E0D"/>
    <w:rsid w:val="00DF47B1"/>
    <w:rsid w:val="00DF67C3"/>
    <w:rsid w:val="00DF7F2A"/>
    <w:rsid w:val="00E03D4E"/>
    <w:rsid w:val="00E03E6F"/>
    <w:rsid w:val="00E0525C"/>
    <w:rsid w:val="00E1117F"/>
    <w:rsid w:val="00E11CE0"/>
    <w:rsid w:val="00E11DAC"/>
    <w:rsid w:val="00E122F8"/>
    <w:rsid w:val="00E12FC1"/>
    <w:rsid w:val="00E140AC"/>
    <w:rsid w:val="00E15979"/>
    <w:rsid w:val="00E15D5C"/>
    <w:rsid w:val="00E176EE"/>
    <w:rsid w:val="00E206C6"/>
    <w:rsid w:val="00E21194"/>
    <w:rsid w:val="00E22EA7"/>
    <w:rsid w:val="00E232BC"/>
    <w:rsid w:val="00E24672"/>
    <w:rsid w:val="00E24DB1"/>
    <w:rsid w:val="00E30604"/>
    <w:rsid w:val="00E31AD3"/>
    <w:rsid w:val="00E328B5"/>
    <w:rsid w:val="00E32DDA"/>
    <w:rsid w:val="00E33B9F"/>
    <w:rsid w:val="00E33CBD"/>
    <w:rsid w:val="00E3542A"/>
    <w:rsid w:val="00E377F9"/>
    <w:rsid w:val="00E40A22"/>
    <w:rsid w:val="00E40F2F"/>
    <w:rsid w:val="00E4384B"/>
    <w:rsid w:val="00E44ECB"/>
    <w:rsid w:val="00E4515F"/>
    <w:rsid w:val="00E45FDE"/>
    <w:rsid w:val="00E46C31"/>
    <w:rsid w:val="00E51D78"/>
    <w:rsid w:val="00E53B9B"/>
    <w:rsid w:val="00E53BB4"/>
    <w:rsid w:val="00E54E34"/>
    <w:rsid w:val="00E55E8D"/>
    <w:rsid w:val="00E6167B"/>
    <w:rsid w:val="00E62E8D"/>
    <w:rsid w:val="00E62EC3"/>
    <w:rsid w:val="00E701CB"/>
    <w:rsid w:val="00E71BA2"/>
    <w:rsid w:val="00E72D75"/>
    <w:rsid w:val="00E75C4D"/>
    <w:rsid w:val="00E82A70"/>
    <w:rsid w:val="00E8340C"/>
    <w:rsid w:val="00E84B8A"/>
    <w:rsid w:val="00E84C7C"/>
    <w:rsid w:val="00E85076"/>
    <w:rsid w:val="00E8587C"/>
    <w:rsid w:val="00E85E11"/>
    <w:rsid w:val="00E86D50"/>
    <w:rsid w:val="00E90012"/>
    <w:rsid w:val="00E90592"/>
    <w:rsid w:val="00E92582"/>
    <w:rsid w:val="00EA1264"/>
    <w:rsid w:val="00EA273E"/>
    <w:rsid w:val="00EA3708"/>
    <w:rsid w:val="00EA4F75"/>
    <w:rsid w:val="00EA5156"/>
    <w:rsid w:val="00EA5AA9"/>
    <w:rsid w:val="00EA6CD7"/>
    <w:rsid w:val="00EA6DA0"/>
    <w:rsid w:val="00EB01D9"/>
    <w:rsid w:val="00EB032F"/>
    <w:rsid w:val="00EB328D"/>
    <w:rsid w:val="00EB58A1"/>
    <w:rsid w:val="00EC0DA1"/>
    <w:rsid w:val="00EC53FC"/>
    <w:rsid w:val="00ED037F"/>
    <w:rsid w:val="00ED07E9"/>
    <w:rsid w:val="00ED0A15"/>
    <w:rsid w:val="00ED15E8"/>
    <w:rsid w:val="00ED2B1F"/>
    <w:rsid w:val="00ED371B"/>
    <w:rsid w:val="00ED3840"/>
    <w:rsid w:val="00ED3B09"/>
    <w:rsid w:val="00EE1F18"/>
    <w:rsid w:val="00EE2232"/>
    <w:rsid w:val="00EE2A13"/>
    <w:rsid w:val="00EE2D2F"/>
    <w:rsid w:val="00EE49C4"/>
    <w:rsid w:val="00EF1938"/>
    <w:rsid w:val="00EF1C7D"/>
    <w:rsid w:val="00EF1F33"/>
    <w:rsid w:val="00EF3360"/>
    <w:rsid w:val="00EF41FB"/>
    <w:rsid w:val="00EF56D4"/>
    <w:rsid w:val="00F027EC"/>
    <w:rsid w:val="00F02896"/>
    <w:rsid w:val="00F04041"/>
    <w:rsid w:val="00F04B72"/>
    <w:rsid w:val="00F04DFB"/>
    <w:rsid w:val="00F05BE7"/>
    <w:rsid w:val="00F078D5"/>
    <w:rsid w:val="00F107B3"/>
    <w:rsid w:val="00F116AB"/>
    <w:rsid w:val="00F13885"/>
    <w:rsid w:val="00F14619"/>
    <w:rsid w:val="00F14637"/>
    <w:rsid w:val="00F14E31"/>
    <w:rsid w:val="00F170FB"/>
    <w:rsid w:val="00F1719C"/>
    <w:rsid w:val="00F226F2"/>
    <w:rsid w:val="00F2389E"/>
    <w:rsid w:val="00F2529E"/>
    <w:rsid w:val="00F26E55"/>
    <w:rsid w:val="00F276AA"/>
    <w:rsid w:val="00F27BD5"/>
    <w:rsid w:val="00F3459A"/>
    <w:rsid w:val="00F40C2B"/>
    <w:rsid w:val="00F41070"/>
    <w:rsid w:val="00F423F1"/>
    <w:rsid w:val="00F4255F"/>
    <w:rsid w:val="00F42D82"/>
    <w:rsid w:val="00F43041"/>
    <w:rsid w:val="00F43FD2"/>
    <w:rsid w:val="00F457AE"/>
    <w:rsid w:val="00F5046E"/>
    <w:rsid w:val="00F513BA"/>
    <w:rsid w:val="00F519B6"/>
    <w:rsid w:val="00F51A36"/>
    <w:rsid w:val="00F52526"/>
    <w:rsid w:val="00F527A5"/>
    <w:rsid w:val="00F52D7F"/>
    <w:rsid w:val="00F550BB"/>
    <w:rsid w:val="00F608FA"/>
    <w:rsid w:val="00F63166"/>
    <w:rsid w:val="00F636D1"/>
    <w:rsid w:val="00F64761"/>
    <w:rsid w:val="00F66176"/>
    <w:rsid w:val="00F71322"/>
    <w:rsid w:val="00F72E3A"/>
    <w:rsid w:val="00F734B0"/>
    <w:rsid w:val="00F741CC"/>
    <w:rsid w:val="00F74FDA"/>
    <w:rsid w:val="00F84445"/>
    <w:rsid w:val="00F86888"/>
    <w:rsid w:val="00F868A0"/>
    <w:rsid w:val="00F87C40"/>
    <w:rsid w:val="00FA080E"/>
    <w:rsid w:val="00FA0875"/>
    <w:rsid w:val="00FA2EF3"/>
    <w:rsid w:val="00FA356D"/>
    <w:rsid w:val="00FA5CE3"/>
    <w:rsid w:val="00FA5E71"/>
    <w:rsid w:val="00FA69DC"/>
    <w:rsid w:val="00FB2900"/>
    <w:rsid w:val="00FC08E9"/>
    <w:rsid w:val="00FC1D30"/>
    <w:rsid w:val="00FC3284"/>
    <w:rsid w:val="00FC328C"/>
    <w:rsid w:val="00FD0096"/>
    <w:rsid w:val="00FD19E0"/>
    <w:rsid w:val="00FD3A97"/>
    <w:rsid w:val="00FD50DF"/>
    <w:rsid w:val="00FD5319"/>
    <w:rsid w:val="00FE0927"/>
    <w:rsid w:val="00FE0933"/>
    <w:rsid w:val="00FE3B7D"/>
    <w:rsid w:val="00FE52D4"/>
    <w:rsid w:val="00FE62D3"/>
    <w:rsid w:val="00FE637D"/>
    <w:rsid w:val="00FE7181"/>
    <w:rsid w:val="00FF389C"/>
    <w:rsid w:val="00FF6154"/>
    <w:rsid w:val="00FF686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6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nl-B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118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11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CD699C"/>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93E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43A3"/>
    <w:pPr>
      <w:ind w:left="720"/>
      <w:contextualSpacing/>
    </w:pPr>
  </w:style>
  <w:style w:type="character" w:styleId="Hipercze">
    <w:name w:val="Hyperlink"/>
    <w:basedOn w:val="Domylnaczcionkaakapitu"/>
    <w:uiPriority w:val="99"/>
    <w:unhideWhenUsed/>
    <w:rsid w:val="000143A3"/>
    <w:rPr>
      <w:color w:val="0000FF"/>
      <w:u w:val="single"/>
    </w:rPr>
  </w:style>
  <w:style w:type="character" w:styleId="UyteHipercze">
    <w:name w:val="FollowedHyperlink"/>
    <w:basedOn w:val="Domylnaczcionkaakapitu"/>
    <w:uiPriority w:val="99"/>
    <w:semiHidden/>
    <w:unhideWhenUsed/>
    <w:rsid w:val="009D0C1E"/>
    <w:rPr>
      <w:color w:val="800080" w:themeColor="followedHyperlink"/>
      <w:u w:val="single"/>
    </w:rPr>
  </w:style>
  <w:style w:type="paragraph" w:styleId="Nagwek">
    <w:name w:val="header"/>
    <w:basedOn w:val="Normalny"/>
    <w:link w:val="NagwekZnak"/>
    <w:uiPriority w:val="99"/>
    <w:unhideWhenUsed/>
    <w:rsid w:val="005F64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64ED"/>
  </w:style>
  <w:style w:type="paragraph" w:styleId="Stopka">
    <w:name w:val="footer"/>
    <w:basedOn w:val="Normalny"/>
    <w:link w:val="StopkaZnak"/>
    <w:uiPriority w:val="99"/>
    <w:unhideWhenUsed/>
    <w:rsid w:val="005F64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64ED"/>
  </w:style>
  <w:style w:type="paragraph" w:styleId="Tekstprzypisukocowego">
    <w:name w:val="endnote text"/>
    <w:basedOn w:val="Normalny"/>
    <w:link w:val="TekstprzypisukocowegoZnak"/>
    <w:uiPriority w:val="99"/>
    <w:semiHidden/>
    <w:unhideWhenUsed/>
    <w:rsid w:val="008912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912E5"/>
    <w:rPr>
      <w:sz w:val="20"/>
      <w:szCs w:val="20"/>
    </w:rPr>
  </w:style>
  <w:style w:type="character" w:styleId="Odwoanieprzypisukocowego">
    <w:name w:val="endnote reference"/>
    <w:basedOn w:val="Domylnaczcionkaakapitu"/>
    <w:uiPriority w:val="99"/>
    <w:semiHidden/>
    <w:unhideWhenUsed/>
    <w:rsid w:val="008912E5"/>
    <w:rPr>
      <w:vertAlign w:val="superscript"/>
    </w:rPr>
  </w:style>
  <w:style w:type="paragraph" w:styleId="Tekstdymka">
    <w:name w:val="Balloon Text"/>
    <w:basedOn w:val="Normalny"/>
    <w:link w:val="TekstdymkaZnak"/>
    <w:uiPriority w:val="99"/>
    <w:semiHidden/>
    <w:unhideWhenUsed/>
    <w:rsid w:val="000707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0708"/>
    <w:rPr>
      <w:rFonts w:ascii="Tahoma" w:hAnsi="Tahoma" w:cs="Tahoma"/>
      <w:sz w:val="16"/>
      <w:szCs w:val="16"/>
    </w:rPr>
  </w:style>
  <w:style w:type="character" w:customStyle="1" w:styleId="apple-converted-space">
    <w:name w:val="apple-converted-space"/>
    <w:basedOn w:val="Domylnaczcionkaakapitu"/>
    <w:rsid w:val="00EF3360"/>
  </w:style>
  <w:style w:type="character" w:styleId="Uwydatnienie">
    <w:name w:val="Emphasis"/>
    <w:basedOn w:val="Domylnaczcionkaakapitu"/>
    <w:uiPriority w:val="20"/>
    <w:qFormat/>
    <w:rsid w:val="00EF3360"/>
    <w:rPr>
      <w:i/>
      <w:iCs/>
    </w:rPr>
  </w:style>
  <w:style w:type="paragraph" w:styleId="Tekstprzypisudolnego">
    <w:name w:val="footnote text"/>
    <w:basedOn w:val="Normalny"/>
    <w:link w:val="TekstprzypisudolnegoZnak"/>
    <w:uiPriority w:val="99"/>
    <w:unhideWhenUsed/>
    <w:rsid w:val="000F2BE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F2BE3"/>
    <w:rPr>
      <w:sz w:val="20"/>
      <w:szCs w:val="20"/>
    </w:rPr>
  </w:style>
  <w:style w:type="character" w:styleId="Odwoanieprzypisudolnego">
    <w:name w:val="footnote reference"/>
    <w:basedOn w:val="Domylnaczcionkaakapitu"/>
    <w:uiPriority w:val="99"/>
    <w:unhideWhenUsed/>
    <w:rsid w:val="000F2BE3"/>
    <w:rPr>
      <w:vertAlign w:val="superscript"/>
    </w:rPr>
  </w:style>
  <w:style w:type="character" w:customStyle="1" w:styleId="Nagwek1Znak">
    <w:name w:val="Nagłówek 1 Znak"/>
    <w:basedOn w:val="Domylnaczcionkaakapitu"/>
    <w:link w:val="Nagwek1"/>
    <w:uiPriority w:val="9"/>
    <w:rsid w:val="002118A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118A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CD699C"/>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93E9F"/>
    <w:rPr>
      <w:rFonts w:asciiTheme="majorHAnsi" w:eastAsiaTheme="majorEastAsia" w:hAnsiTheme="majorHAnsi" w:cstheme="majorBidi"/>
      <w:b/>
      <w:bCs/>
      <w:i/>
      <w:iCs/>
      <w:color w:val="4F81BD" w:themeColor="accent1"/>
    </w:rPr>
  </w:style>
  <w:style w:type="character" w:customStyle="1" w:styleId="highlight">
    <w:name w:val="highlight"/>
    <w:basedOn w:val="Domylnaczcionkaakapitu"/>
    <w:rsid w:val="00893E9F"/>
  </w:style>
  <w:style w:type="paragraph" w:customStyle="1" w:styleId="legclearfix">
    <w:name w:val="legclearfix"/>
    <w:basedOn w:val="Normalny"/>
    <w:rsid w:val="003C4E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ds">
    <w:name w:val="legds"/>
    <w:basedOn w:val="Domylnaczcionkaakapitu"/>
    <w:rsid w:val="003C4EA6"/>
  </w:style>
  <w:style w:type="character" w:styleId="Odwoaniedokomentarza">
    <w:name w:val="annotation reference"/>
    <w:basedOn w:val="Domylnaczcionkaakapitu"/>
    <w:uiPriority w:val="99"/>
    <w:semiHidden/>
    <w:unhideWhenUsed/>
    <w:rsid w:val="00343117"/>
    <w:rPr>
      <w:sz w:val="16"/>
      <w:szCs w:val="16"/>
    </w:rPr>
  </w:style>
  <w:style w:type="paragraph" w:styleId="Tekstkomentarza">
    <w:name w:val="annotation text"/>
    <w:basedOn w:val="Normalny"/>
    <w:link w:val="TekstkomentarzaZnak"/>
    <w:uiPriority w:val="99"/>
    <w:unhideWhenUsed/>
    <w:rsid w:val="00343117"/>
    <w:pPr>
      <w:spacing w:line="240" w:lineRule="auto"/>
    </w:pPr>
    <w:rPr>
      <w:sz w:val="20"/>
      <w:szCs w:val="20"/>
    </w:rPr>
  </w:style>
  <w:style w:type="character" w:customStyle="1" w:styleId="TekstkomentarzaZnak">
    <w:name w:val="Tekst komentarza Znak"/>
    <w:basedOn w:val="Domylnaczcionkaakapitu"/>
    <w:link w:val="Tekstkomentarza"/>
    <w:uiPriority w:val="99"/>
    <w:rsid w:val="00343117"/>
    <w:rPr>
      <w:sz w:val="20"/>
      <w:szCs w:val="20"/>
    </w:rPr>
  </w:style>
  <w:style w:type="paragraph" w:styleId="Tematkomentarza">
    <w:name w:val="annotation subject"/>
    <w:basedOn w:val="Tekstkomentarza"/>
    <w:next w:val="Tekstkomentarza"/>
    <w:link w:val="TematkomentarzaZnak"/>
    <w:uiPriority w:val="99"/>
    <w:semiHidden/>
    <w:unhideWhenUsed/>
    <w:rsid w:val="00343117"/>
    <w:rPr>
      <w:b/>
      <w:bCs/>
    </w:rPr>
  </w:style>
  <w:style w:type="character" w:customStyle="1" w:styleId="TematkomentarzaZnak">
    <w:name w:val="Temat komentarza Znak"/>
    <w:basedOn w:val="TekstkomentarzaZnak"/>
    <w:link w:val="Tematkomentarza"/>
    <w:uiPriority w:val="99"/>
    <w:semiHidden/>
    <w:rsid w:val="00343117"/>
    <w:rPr>
      <w:b/>
      <w:bCs/>
      <w:sz w:val="20"/>
      <w:szCs w:val="20"/>
    </w:rPr>
  </w:style>
  <w:style w:type="character" w:customStyle="1" w:styleId="sb8d990e2">
    <w:name w:val="sb8d990e2"/>
    <w:basedOn w:val="Domylnaczcionkaakapitu"/>
    <w:rsid w:val="00BA6588"/>
  </w:style>
  <w:style w:type="character" w:customStyle="1" w:styleId="searchterm">
    <w:name w:val="searchterm"/>
    <w:basedOn w:val="Domylnaczcionkaakapitu"/>
    <w:rsid w:val="004A6684"/>
  </w:style>
  <w:style w:type="character" w:customStyle="1" w:styleId="acadbibtitle1">
    <w:name w:val="acadbibtitle1"/>
    <w:basedOn w:val="Domylnaczcionkaakapitu"/>
    <w:rsid w:val="008957F6"/>
    <w:rPr>
      <w:i/>
      <w:iCs/>
    </w:rPr>
  </w:style>
  <w:style w:type="paragraph" w:styleId="Nagwekspisutreci">
    <w:name w:val="TOC Heading"/>
    <w:basedOn w:val="Nagwek1"/>
    <w:next w:val="Normalny"/>
    <w:uiPriority w:val="39"/>
    <w:unhideWhenUsed/>
    <w:qFormat/>
    <w:rsid w:val="00ED3B09"/>
    <w:pPr>
      <w:spacing w:before="240" w:line="259" w:lineRule="auto"/>
      <w:outlineLvl w:val="9"/>
    </w:pPr>
    <w:rPr>
      <w:b w:val="0"/>
      <w:bCs w:val="0"/>
      <w:sz w:val="32"/>
      <w:szCs w:val="32"/>
      <w:lang w:eastAsia="nl-BE"/>
    </w:rPr>
  </w:style>
  <w:style w:type="paragraph" w:styleId="Spistreci1">
    <w:name w:val="toc 1"/>
    <w:basedOn w:val="Normalny"/>
    <w:next w:val="Normalny"/>
    <w:autoRedefine/>
    <w:uiPriority w:val="39"/>
    <w:unhideWhenUsed/>
    <w:rsid w:val="00ED3B09"/>
    <w:pPr>
      <w:spacing w:after="100"/>
    </w:pPr>
  </w:style>
  <w:style w:type="paragraph" w:styleId="Spistreci2">
    <w:name w:val="toc 2"/>
    <w:basedOn w:val="Normalny"/>
    <w:next w:val="Normalny"/>
    <w:autoRedefine/>
    <w:uiPriority w:val="39"/>
    <w:unhideWhenUsed/>
    <w:rsid w:val="00ED3B09"/>
    <w:pPr>
      <w:spacing w:after="100"/>
      <w:ind w:left="220"/>
    </w:pPr>
  </w:style>
  <w:style w:type="paragraph" w:styleId="Bezodstpw">
    <w:name w:val="No Spacing"/>
    <w:uiPriority w:val="1"/>
    <w:qFormat/>
    <w:rsid w:val="00BC0FC3"/>
    <w:pPr>
      <w:spacing w:after="0" w:line="240" w:lineRule="auto"/>
    </w:pPr>
  </w:style>
  <w:style w:type="table" w:styleId="Tabela-Siatka">
    <w:name w:val="Table Grid"/>
    <w:basedOn w:val="Standardowy"/>
    <w:uiPriority w:val="59"/>
    <w:rsid w:val="007A2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nl-B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118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11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CD699C"/>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93E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43A3"/>
    <w:pPr>
      <w:ind w:left="720"/>
      <w:contextualSpacing/>
    </w:pPr>
  </w:style>
  <w:style w:type="character" w:styleId="Hipercze">
    <w:name w:val="Hyperlink"/>
    <w:basedOn w:val="Domylnaczcionkaakapitu"/>
    <w:uiPriority w:val="99"/>
    <w:unhideWhenUsed/>
    <w:rsid w:val="000143A3"/>
    <w:rPr>
      <w:color w:val="0000FF"/>
      <w:u w:val="single"/>
    </w:rPr>
  </w:style>
  <w:style w:type="character" w:styleId="UyteHipercze">
    <w:name w:val="FollowedHyperlink"/>
    <w:basedOn w:val="Domylnaczcionkaakapitu"/>
    <w:uiPriority w:val="99"/>
    <w:semiHidden/>
    <w:unhideWhenUsed/>
    <w:rsid w:val="009D0C1E"/>
    <w:rPr>
      <w:color w:val="800080" w:themeColor="followedHyperlink"/>
      <w:u w:val="single"/>
    </w:rPr>
  </w:style>
  <w:style w:type="paragraph" w:styleId="Nagwek">
    <w:name w:val="header"/>
    <w:basedOn w:val="Normalny"/>
    <w:link w:val="NagwekZnak"/>
    <w:uiPriority w:val="99"/>
    <w:unhideWhenUsed/>
    <w:rsid w:val="005F64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64ED"/>
  </w:style>
  <w:style w:type="paragraph" w:styleId="Stopka">
    <w:name w:val="footer"/>
    <w:basedOn w:val="Normalny"/>
    <w:link w:val="StopkaZnak"/>
    <w:uiPriority w:val="99"/>
    <w:unhideWhenUsed/>
    <w:rsid w:val="005F64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64ED"/>
  </w:style>
  <w:style w:type="paragraph" w:styleId="Tekstprzypisukocowego">
    <w:name w:val="endnote text"/>
    <w:basedOn w:val="Normalny"/>
    <w:link w:val="TekstprzypisukocowegoZnak"/>
    <w:uiPriority w:val="99"/>
    <w:semiHidden/>
    <w:unhideWhenUsed/>
    <w:rsid w:val="008912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912E5"/>
    <w:rPr>
      <w:sz w:val="20"/>
      <w:szCs w:val="20"/>
    </w:rPr>
  </w:style>
  <w:style w:type="character" w:styleId="Odwoanieprzypisukocowego">
    <w:name w:val="endnote reference"/>
    <w:basedOn w:val="Domylnaczcionkaakapitu"/>
    <w:uiPriority w:val="99"/>
    <w:semiHidden/>
    <w:unhideWhenUsed/>
    <w:rsid w:val="008912E5"/>
    <w:rPr>
      <w:vertAlign w:val="superscript"/>
    </w:rPr>
  </w:style>
  <w:style w:type="paragraph" w:styleId="Tekstdymka">
    <w:name w:val="Balloon Text"/>
    <w:basedOn w:val="Normalny"/>
    <w:link w:val="TekstdymkaZnak"/>
    <w:uiPriority w:val="99"/>
    <w:semiHidden/>
    <w:unhideWhenUsed/>
    <w:rsid w:val="000707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0708"/>
    <w:rPr>
      <w:rFonts w:ascii="Tahoma" w:hAnsi="Tahoma" w:cs="Tahoma"/>
      <w:sz w:val="16"/>
      <w:szCs w:val="16"/>
    </w:rPr>
  </w:style>
  <w:style w:type="character" w:customStyle="1" w:styleId="apple-converted-space">
    <w:name w:val="apple-converted-space"/>
    <w:basedOn w:val="Domylnaczcionkaakapitu"/>
    <w:rsid w:val="00EF3360"/>
  </w:style>
  <w:style w:type="character" w:styleId="Uwydatnienie">
    <w:name w:val="Emphasis"/>
    <w:basedOn w:val="Domylnaczcionkaakapitu"/>
    <w:uiPriority w:val="20"/>
    <w:qFormat/>
    <w:rsid w:val="00EF3360"/>
    <w:rPr>
      <w:i/>
      <w:iCs/>
    </w:rPr>
  </w:style>
  <w:style w:type="paragraph" w:styleId="Tekstprzypisudolnego">
    <w:name w:val="footnote text"/>
    <w:basedOn w:val="Normalny"/>
    <w:link w:val="TekstprzypisudolnegoZnak"/>
    <w:uiPriority w:val="99"/>
    <w:unhideWhenUsed/>
    <w:rsid w:val="000F2BE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F2BE3"/>
    <w:rPr>
      <w:sz w:val="20"/>
      <w:szCs w:val="20"/>
    </w:rPr>
  </w:style>
  <w:style w:type="character" w:styleId="Odwoanieprzypisudolnego">
    <w:name w:val="footnote reference"/>
    <w:basedOn w:val="Domylnaczcionkaakapitu"/>
    <w:uiPriority w:val="99"/>
    <w:unhideWhenUsed/>
    <w:rsid w:val="000F2BE3"/>
    <w:rPr>
      <w:vertAlign w:val="superscript"/>
    </w:rPr>
  </w:style>
  <w:style w:type="character" w:customStyle="1" w:styleId="Nagwek1Znak">
    <w:name w:val="Nagłówek 1 Znak"/>
    <w:basedOn w:val="Domylnaczcionkaakapitu"/>
    <w:link w:val="Nagwek1"/>
    <w:uiPriority w:val="9"/>
    <w:rsid w:val="002118A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118A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CD699C"/>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93E9F"/>
    <w:rPr>
      <w:rFonts w:asciiTheme="majorHAnsi" w:eastAsiaTheme="majorEastAsia" w:hAnsiTheme="majorHAnsi" w:cstheme="majorBidi"/>
      <w:b/>
      <w:bCs/>
      <w:i/>
      <w:iCs/>
      <w:color w:val="4F81BD" w:themeColor="accent1"/>
    </w:rPr>
  </w:style>
  <w:style w:type="character" w:customStyle="1" w:styleId="highlight">
    <w:name w:val="highlight"/>
    <w:basedOn w:val="Domylnaczcionkaakapitu"/>
    <w:rsid w:val="00893E9F"/>
  </w:style>
  <w:style w:type="paragraph" w:customStyle="1" w:styleId="legclearfix">
    <w:name w:val="legclearfix"/>
    <w:basedOn w:val="Normalny"/>
    <w:rsid w:val="003C4E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ds">
    <w:name w:val="legds"/>
    <w:basedOn w:val="Domylnaczcionkaakapitu"/>
    <w:rsid w:val="003C4EA6"/>
  </w:style>
  <w:style w:type="character" w:styleId="Odwoaniedokomentarza">
    <w:name w:val="annotation reference"/>
    <w:basedOn w:val="Domylnaczcionkaakapitu"/>
    <w:uiPriority w:val="99"/>
    <w:semiHidden/>
    <w:unhideWhenUsed/>
    <w:rsid w:val="00343117"/>
    <w:rPr>
      <w:sz w:val="16"/>
      <w:szCs w:val="16"/>
    </w:rPr>
  </w:style>
  <w:style w:type="paragraph" w:styleId="Tekstkomentarza">
    <w:name w:val="annotation text"/>
    <w:basedOn w:val="Normalny"/>
    <w:link w:val="TekstkomentarzaZnak"/>
    <w:uiPriority w:val="99"/>
    <w:unhideWhenUsed/>
    <w:rsid w:val="00343117"/>
    <w:pPr>
      <w:spacing w:line="240" w:lineRule="auto"/>
    </w:pPr>
    <w:rPr>
      <w:sz w:val="20"/>
      <w:szCs w:val="20"/>
    </w:rPr>
  </w:style>
  <w:style w:type="character" w:customStyle="1" w:styleId="TekstkomentarzaZnak">
    <w:name w:val="Tekst komentarza Znak"/>
    <w:basedOn w:val="Domylnaczcionkaakapitu"/>
    <w:link w:val="Tekstkomentarza"/>
    <w:uiPriority w:val="99"/>
    <w:rsid w:val="00343117"/>
    <w:rPr>
      <w:sz w:val="20"/>
      <w:szCs w:val="20"/>
    </w:rPr>
  </w:style>
  <w:style w:type="paragraph" w:styleId="Tematkomentarza">
    <w:name w:val="annotation subject"/>
    <w:basedOn w:val="Tekstkomentarza"/>
    <w:next w:val="Tekstkomentarza"/>
    <w:link w:val="TematkomentarzaZnak"/>
    <w:uiPriority w:val="99"/>
    <w:semiHidden/>
    <w:unhideWhenUsed/>
    <w:rsid w:val="00343117"/>
    <w:rPr>
      <w:b/>
      <w:bCs/>
    </w:rPr>
  </w:style>
  <w:style w:type="character" w:customStyle="1" w:styleId="TematkomentarzaZnak">
    <w:name w:val="Temat komentarza Znak"/>
    <w:basedOn w:val="TekstkomentarzaZnak"/>
    <w:link w:val="Tematkomentarza"/>
    <w:uiPriority w:val="99"/>
    <w:semiHidden/>
    <w:rsid w:val="00343117"/>
    <w:rPr>
      <w:b/>
      <w:bCs/>
      <w:sz w:val="20"/>
      <w:szCs w:val="20"/>
    </w:rPr>
  </w:style>
  <w:style w:type="character" w:customStyle="1" w:styleId="sb8d990e2">
    <w:name w:val="sb8d990e2"/>
    <w:basedOn w:val="Domylnaczcionkaakapitu"/>
    <w:rsid w:val="00BA6588"/>
  </w:style>
  <w:style w:type="character" w:customStyle="1" w:styleId="searchterm">
    <w:name w:val="searchterm"/>
    <w:basedOn w:val="Domylnaczcionkaakapitu"/>
    <w:rsid w:val="004A6684"/>
  </w:style>
  <w:style w:type="character" w:customStyle="1" w:styleId="acadbibtitle1">
    <w:name w:val="acadbibtitle1"/>
    <w:basedOn w:val="Domylnaczcionkaakapitu"/>
    <w:rsid w:val="008957F6"/>
    <w:rPr>
      <w:i/>
      <w:iCs/>
    </w:rPr>
  </w:style>
  <w:style w:type="paragraph" w:styleId="Nagwekspisutreci">
    <w:name w:val="TOC Heading"/>
    <w:basedOn w:val="Nagwek1"/>
    <w:next w:val="Normalny"/>
    <w:uiPriority w:val="39"/>
    <w:unhideWhenUsed/>
    <w:qFormat/>
    <w:rsid w:val="00ED3B09"/>
    <w:pPr>
      <w:spacing w:before="240" w:line="259" w:lineRule="auto"/>
      <w:outlineLvl w:val="9"/>
    </w:pPr>
    <w:rPr>
      <w:b w:val="0"/>
      <w:bCs w:val="0"/>
      <w:sz w:val="32"/>
      <w:szCs w:val="32"/>
      <w:lang w:eastAsia="nl-BE"/>
    </w:rPr>
  </w:style>
  <w:style w:type="paragraph" w:styleId="Spistreci1">
    <w:name w:val="toc 1"/>
    <w:basedOn w:val="Normalny"/>
    <w:next w:val="Normalny"/>
    <w:autoRedefine/>
    <w:uiPriority w:val="39"/>
    <w:unhideWhenUsed/>
    <w:rsid w:val="00ED3B09"/>
    <w:pPr>
      <w:spacing w:after="100"/>
    </w:pPr>
  </w:style>
  <w:style w:type="paragraph" w:styleId="Spistreci2">
    <w:name w:val="toc 2"/>
    <w:basedOn w:val="Normalny"/>
    <w:next w:val="Normalny"/>
    <w:autoRedefine/>
    <w:uiPriority w:val="39"/>
    <w:unhideWhenUsed/>
    <w:rsid w:val="00ED3B09"/>
    <w:pPr>
      <w:spacing w:after="100"/>
      <w:ind w:left="220"/>
    </w:pPr>
  </w:style>
  <w:style w:type="paragraph" w:styleId="Bezodstpw">
    <w:name w:val="No Spacing"/>
    <w:uiPriority w:val="1"/>
    <w:qFormat/>
    <w:rsid w:val="00BC0FC3"/>
    <w:pPr>
      <w:spacing w:after="0" w:line="240" w:lineRule="auto"/>
    </w:pPr>
  </w:style>
  <w:style w:type="table" w:styleId="Tabela-Siatka">
    <w:name w:val="Table Grid"/>
    <w:basedOn w:val="Standardowy"/>
    <w:uiPriority w:val="59"/>
    <w:rsid w:val="007A2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27638">
      <w:bodyDiv w:val="1"/>
      <w:marLeft w:val="0"/>
      <w:marRight w:val="0"/>
      <w:marTop w:val="0"/>
      <w:marBottom w:val="0"/>
      <w:divBdr>
        <w:top w:val="none" w:sz="0" w:space="0" w:color="auto"/>
        <w:left w:val="none" w:sz="0" w:space="0" w:color="auto"/>
        <w:bottom w:val="none" w:sz="0" w:space="0" w:color="auto"/>
        <w:right w:val="none" w:sz="0" w:space="0" w:color="auto"/>
      </w:divBdr>
    </w:div>
    <w:div w:id="621034399">
      <w:bodyDiv w:val="1"/>
      <w:marLeft w:val="0"/>
      <w:marRight w:val="0"/>
      <w:marTop w:val="0"/>
      <w:marBottom w:val="0"/>
      <w:divBdr>
        <w:top w:val="none" w:sz="0" w:space="0" w:color="auto"/>
        <w:left w:val="none" w:sz="0" w:space="0" w:color="auto"/>
        <w:bottom w:val="none" w:sz="0" w:space="0" w:color="auto"/>
        <w:right w:val="none" w:sz="0" w:space="0" w:color="auto"/>
      </w:divBdr>
    </w:div>
    <w:div w:id="1165706498">
      <w:bodyDiv w:val="1"/>
      <w:marLeft w:val="0"/>
      <w:marRight w:val="0"/>
      <w:marTop w:val="0"/>
      <w:marBottom w:val="0"/>
      <w:divBdr>
        <w:top w:val="none" w:sz="0" w:space="0" w:color="auto"/>
        <w:left w:val="none" w:sz="0" w:space="0" w:color="auto"/>
        <w:bottom w:val="none" w:sz="0" w:space="0" w:color="auto"/>
        <w:right w:val="none" w:sz="0" w:space="0" w:color="auto"/>
      </w:divBdr>
    </w:div>
    <w:div w:id="1598520814">
      <w:bodyDiv w:val="1"/>
      <w:marLeft w:val="0"/>
      <w:marRight w:val="0"/>
      <w:marTop w:val="0"/>
      <w:marBottom w:val="0"/>
      <w:divBdr>
        <w:top w:val="none" w:sz="0" w:space="0" w:color="auto"/>
        <w:left w:val="none" w:sz="0" w:space="0" w:color="auto"/>
        <w:bottom w:val="none" w:sz="0" w:space="0" w:color="auto"/>
        <w:right w:val="none" w:sz="0" w:space="0" w:color="auto"/>
      </w:divBdr>
    </w:div>
    <w:div w:id="1663772171">
      <w:bodyDiv w:val="1"/>
      <w:marLeft w:val="0"/>
      <w:marRight w:val="0"/>
      <w:marTop w:val="0"/>
      <w:marBottom w:val="0"/>
      <w:divBdr>
        <w:top w:val="none" w:sz="0" w:space="0" w:color="auto"/>
        <w:left w:val="none" w:sz="0" w:space="0" w:color="auto"/>
        <w:bottom w:val="none" w:sz="0" w:space="0" w:color="auto"/>
        <w:right w:val="none" w:sz="0" w:space="0" w:color="auto"/>
      </w:divBdr>
    </w:div>
    <w:div w:id="1981300207">
      <w:bodyDiv w:val="1"/>
      <w:marLeft w:val="0"/>
      <w:marRight w:val="0"/>
      <w:marTop w:val="0"/>
      <w:marBottom w:val="0"/>
      <w:divBdr>
        <w:top w:val="none" w:sz="0" w:space="0" w:color="auto"/>
        <w:left w:val="none" w:sz="0" w:space="0" w:color="auto"/>
        <w:bottom w:val="none" w:sz="0" w:space="0" w:color="auto"/>
        <w:right w:val="none" w:sz="0" w:space="0" w:color="auto"/>
      </w:divBdr>
    </w:div>
    <w:div w:id="2084788946">
      <w:bodyDiv w:val="1"/>
      <w:marLeft w:val="0"/>
      <w:marRight w:val="0"/>
      <w:marTop w:val="0"/>
      <w:marBottom w:val="0"/>
      <w:divBdr>
        <w:top w:val="none" w:sz="0" w:space="0" w:color="auto"/>
        <w:left w:val="none" w:sz="0" w:space="0" w:color="auto"/>
        <w:bottom w:val="none" w:sz="0" w:space="0" w:color="auto"/>
        <w:right w:val="none" w:sz="0" w:space="0" w:color="auto"/>
      </w:divBdr>
    </w:div>
    <w:div w:id="211127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chr.coe.int/Documents/Convention_ENG.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ailii.org/uk/cases/UKHL/2002/39.html" TargetMode="External"/><Relationship Id="rId13" Type="http://schemas.openxmlformats.org/officeDocument/2006/relationships/hyperlink" Target="http://www.bailii.org/cgi-bin/format.cgi?doc=/uk/cases/UKHL/2007/46.html&amp;query=(Secretary)+AND+(of)+AND+(State)+AND+(for)+AND+(the)+AND+(Home)+AND+(Department)+AND+(v)+AND+(MB)+AND+(%5b2007%5d)+AND+(UKHL)+AND+(46)" TargetMode="External"/><Relationship Id="rId3" Type="http://schemas.openxmlformats.org/officeDocument/2006/relationships/hyperlink" Target="http://www.bailii.org/cgi-bin/format.cgi?doc=/uk/cases/UKHL/2007/46.html&amp;query=(Secretary)+AND+(of)+AND+(State)+AND+(for)+AND+(the)+AND+(Home)+AND+(Department)+AND+(v)+AND+(MB)+AND+(%5b2007%5d)+AND+(UKHL)+AND+(46)" TargetMode="External"/><Relationship Id="rId7" Type="http://schemas.openxmlformats.org/officeDocument/2006/relationships/hyperlink" Target="http://www.bailii.org/cgi-bin/markup.cgi?doc=/uk/cases/UKHL/2007/46.html&amp;query=administrative+and+decisions,+and+police,+and+public+and+order,+and+proportionality&amp;method=boolean" TargetMode="External"/><Relationship Id="rId12" Type="http://schemas.openxmlformats.org/officeDocument/2006/relationships/hyperlink" Target="http://www.stibbe.com" TargetMode="External"/><Relationship Id="rId2" Type="http://schemas.openxmlformats.org/officeDocument/2006/relationships/hyperlink" Target="https://en.wikipedia.org/wiki/Terrorism_Prevention_and_Investigation_Measures_Act_2011" TargetMode="External"/><Relationship Id="rId1" Type="http://schemas.openxmlformats.org/officeDocument/2006/relationships/hyperlink" Target="https://en.wikipedia.org/wiki/Terrorism_Prevention_and_Investigation_Measures_Act_2011" TargetMode="External"/><Relationship Id="rId6" Type="http://schemas.openxmlformats.org/officeDocument/2006/relationships/hyperlink" Target="http://www.bailii.org/cgi-bin/markup.cgi?doc=/uk/cases/UKHL/2007/46.html&amp;query=administrative+and+decisions,+and+police,+and+public+and+order,+and+proportionality&amp;method=boolean" TargetMode="External"/><Relationship Id="rId11" Type="http://schemas.openxmlformats.org/officeDocument/2006/relationships/hyperlink" Target="http://www.echr.coe.int/Documents/Guide_Art_6_ENG.pdf" TargetMode="External"/><Relationship Id="rId5" Type="http://schemas.openxmlformats.org/officeDocument/2006/relationships/hyperlink" Target="http://www.echr.coe.int/Documents/Guide_Art_6_ENG.pdf" TargetMode="External"/><Relationship Id="rId10" Type="http://schemas.openxmlformats.org/officeDocument/2006/relationships/hyperlink" Target="http://www.bailii.org/cgi-bin/markup.cgi?doc=/uk/cases/UKHL/2007/46.html&amp;query=administrative+and+decisions,+and+police,+and+public+and+order,+and+proportionality&amp;method=boolean" TargetMode="External"/><Relationship Id="rId4" Type="http://schemas.openxmlformats.org/officeDocument/2006/relationships/hyperlink" Target="http://www.echr.coe.int/Documents/Guide_Art_6_ENG.pdf" TargetMode="External"/><Relationship Id="rId9" Type="http://schemas.openxmlformats.org/officeDocument/2006/relationships/hyperlink" Target="http://www.bailii.org/cgi-bin/redirect.cgi?path=/uk/cases/UKHL/2002/3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77388-4023-4727-8239-58A40468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8041</Words>
  <Characters>48250</Characters>
  <Application>Microsoft Office Word</Application>
  <DocSecurity>0</DocSecurity>
  <Lines>402</Lines>
  <Paragraphs>112</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Universiteit Antwerpen</Company>
  <LinksUpToDate>false</LinksUpToDate>
  <CharactersWithSpaces>56179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cp:revision>
  <cp:lastPrinted>2016-06-20T12:16:00Z</cp:lastPrinted>
  <dcterms:created xsi:type="dcterms:W3CDTF">2016-09-28T09:28:00Z</dcterms:created>
  <dcterms:modified xsi:type="dcterms:W3CDTF">2016-09-28T09:28:00Z</dcterms:modified>
</cp:coreProperties>
</file>